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50406BDE" w14:textId="77777777" w:rsidR="00B6599E" w:rsidRDefault="00B6599E" w:rsidP="00EF4E48">
      <w:pPr>
        <w:spacing w:after="0" w:line="360" w:lineRule="auto"/>
        <w:jc w:val="right"/>
        <w:rPr>
          <w:rFonts w:cstheme="minorHAnsi"/>
          <w:b/>
          <w:bCs/>
          <w:sz w:val="24"/>
          <w:szCs w:val="24"/>
        </w:rPr>
      </w:pPr>
    </w:p>
    <w:p w14:paraId="3B65C4E2" w14:textId="77777777" w:rsidR="00B6599E" w:rsidRDefault="00B6599E" w:rsidP="00EF4E48">
      <w:pPr>
        <w:spacing w:after="0" w:line="360" w:lineRule="auto"/>
      </w:pPr>
    </w:p>
    <w:p w14:paraId="69368202" w14:textId="337D943D" w:rsidR="00B6599E" w:rsidRDefault="004509C9" w:rsidP="00CC3F60">
      <w:pPr>
        <w:pStyle w:val="Heading2"/>
      </w:pPr>
      <w:r>
        <w:t>Secțiunea FORMULARE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4509C9" w:rsidRPr="004509C9" w14:paraId="23C859DE" w14:textId="77777777" w:rsidTr="004509C9">
        <w:tc>
          <w:tcPr>
            <w:tcW w:w="2405" w:type="dxa"/>
          </w:tcPr>
          <w:p w14:paraId="7390F3D3" w14:textId="441541D4" w:rsidR="004509C9" w:rsidRPr="004509C9" w:rsidRDefault="004509C9" w:rsidP="00EF4E48">
            <w:pPr>
              <w:spacing w:line="360" w:lineRule="auto"/>
              <w:jc w:val="center"/>
              <w:rPr>
                <w:rFonts w:cstheme="minorHAnsi"/>
                <w:b/>
                <w:bCs/>
                <w:sz w:val="32"/>
                <w:szCs w:val="32"/>
              </w:rPr>
            </w:pPr>
            <w:r w:rsidRPr="004509C9">
              <w:rPr>
                <w:rFonts w:cstheme="minorHAnsi"/>
                <w:b/>
                <w:bCs/>
                <w:sz w:val="32"/>
                <w:szCs w:val="32"/>
              </w:rPr>
              <w:t>Formular</w:t>
            </w:r>
          </w:p>
        </w:tc>
        <w:tc>
          <w:tcPr>
            <w:tcW w:w="7088" w:type="dxa"/>
          </w:tcPr>
          <w:p w14:paraId="5511F35B" w14:textId="77777777" w:rsidR="004509C9" w:rsidRDefault="004509C9" w:rsidP="00EF4E48">
            <w:pPr>
              <w:spacing w:line="360" w:lineRule="auto"/>
              <w:jc w:val="center"/>
              <w:rPr>
                <w:rFonts w:cstheme="minorHAnsi"/>
                <w:b/>
                <w:bCs/>
                <w:sz w:val="32"/>
                <w:szCs w:val="32"/>
              </w:rPr>
            </w:pPr>
            <w:r w:rsidRPr="004509C9">
              <w:rPr>
                <w:rFonts w:cstheme="minorHAnsi"/>
                <w:b/>
                <w:bCs/>
                <w:sz w:val="32"/>
                <w:szCs w:val="32"/>
              </w:rPr>
              <w:t>Denumire</w:t>
            </w:r>
          </w:p>
          <w:p w14:paraId="1AE6D00E" w14:textId="7B2BA97C" w:rsidR="0032359E" w:rsidRPr="004509C9" w:rsidRDefault="0032359E" w:rsidP="00EF4E48">
            <w:pPr>
              <w:spacing w:line="360" w:lineRule="auto"/>
              <w:jc w:val="center"/>
              <w:rPr>
                <w:rFonts w:cstheme="minorHAnsi"/>
                <w:b/>
                <w:bCs/>
                <w:sz w:val="32"/>
                <w:szCs w:val="32"/>
              </w:rPr>
            </w:pPr>
          </w:p>
        </w:tc>
      </w:tr>
      <w:tr w:rsidR="00CC3F60" w:rsidRPr="00CC3F60" w14:paraId="6D1F5814" w14:textId="77777777" w:rsidTr="004509C9">
        <w:tc>
          <w:tcPr>
            <w:tcW w:w="2405" w:type="dxa"/>
          </w:tcPr>
          <w:p w14:paraId="22ACDF69" w14:textId="127010CF" w:rsidR="00CC3F60" w:rsidRPr="00CC3F60" w:rsidRDefault="00CC3F60" w:rsidP="00CC3F60">
            <w:pPr>
              <w:spacing w:line="360" w:lineRule="auto"/>
              <w:rPr>
                <w:rFonts w:cstheme="minorHAnsi"/>
                <w:b/>
                <w:bCs/>
                <w:sz w:val="24"/>
                <w:szCs w:val="24"/>
              </w:rPr>
            </w:pPr>
            <w:r w:rsidRPr="00CC3F60">
              <w:rPr>
                <w:rFonts w:cstheme="minorHAnsi"/>
                <w:b/>
                <w:bCs/>
                <w:sz w:val="24"/>
                <w:szCs w:val="24"/>
              </w:rPr>
              <w:t>FORMULAR 1</w:t>
            </w:r>
          </w:p>
        </w:tc>
        <w:tc>
          <w:tcPr>
            <w:tcW w:w="7088" w:type="dxa"/>
          </w:tcPr>
          <w:p w14:paraId="5D0392B0" w14:textId="70419EDA" w:rsidR="00CC3F60" w:rsidRPr="00CC3F60" w:rsidRDefault="00CC3F60" w:rsidP="00CC3F60">
            <w:pPr>
              <w:spacing w:line="360" w:lineRule="auto"/>
              <w:rPr>
                <w:rFonts w:cstheme="minorHAnsi"/>
                <w:b/>
                <w:bCs/>
                <w:sz w:val="24"/>
                <w:szCs w:val="24"/>
              </w:rPr>
            </w:pPr>
            <w:r w:rsidRPr="00CC3F60">
              <w:rPr>
                <w:rFonts w:cstheme="minorHAnsi"/>
                <w:b/>
                <w:bCs/>
                <w:sz w:val="24"/>
                <w:szCs w:val="24"/>
              </w:rPr>
              <w:t>ÎMPUTERNICIRE</w:t>
            </w:r>
          </w:p>
        </w:tc>
      </w:tr>
      <w:tr w:rsidR="00CC3F60" w:rsidRPr="00CC3F60" w14:paraId="1FED04BD" w14:textId="77777777" w:rsidTr="004509C9">
        <w:tc>
          <w:tcPr>
            <w:tcW w:w="2405" w:type="dxa"/>
          </w:tcPr>
          <w:p w14:paraId="65D821B8" w14:textId="2078003E" w:rsidR="00CC3F60" w:rsidRPr="00CC3F60" w:rsidRDefault="00CC3F60" w:rsidP="00CC3F60">
            <w:pPr>
              <w:spacing w:line="360" w:lineRule="auto"/>
              <w:rPr>
                <w:rFonts w:cstheme="minorHAnsi"/>
                <w:b/>
                <w:bCs/>
                <w:sz w:val="24"/>
                <w:szCs w:val="24"/>
              </w:rPr>
            </w:pPr>
            <w:r w:rsidRPr="00CC3F60">
              <w:rPr>
                <w:rFonts w:cstheme="minorHAnsi"/>
                <w:b/>
                <w:bCs/>
                <w:sz w:val="24"/>
                <w:szCs w:val="24"/>
              </w:rPr>
              <w:t>FORMULAR 2</w:t>
            </w:r>
          </w:p>
        </w:tc>
        <w:tc>
          <w:tcPr>
            <w:tcW w:w="7088" w:type="dxa"/>
          </w:tcPr>
          <w:p w14:paraId="2F92705A" w14:textId="36AE057E" w:rsidR="00CC3F60" w:rsidRPr="00CC3F60" w:rsidRDefault="00CC3F60" w:rsidP="00CC3F60">
            <w:pPr>
              <w:spacing w:line="360" w:lineRule="auto"/>
              <w:rPr>
                <w:rFonts w:cstheme="minorHAnsi"/>
                <w:b/>
                <w:bCs/>
                <w:sz w:val="24"/>
                <w:szCs w:val="24"/>
              </w:rPr>
            </w:pPr>
            <w:r w:rsidRPr="00CC3F60">
              <w:rPr>
                <w:rFonts w:cstheme="minorHAnsi"/>
                <w:b/>
                <w:bCs/>
                <w:sz w:val="24"/>
                <w:szCs w:val="24"/>
              </w:rPr>
              <w:t>PREZENTARE GENERALĂ OFERTANT</w:t>
            </w:r>
          </w:p>
        </w:tc>
      </w:tr>
      <w:tr w:rsidR="004509C9" w:rsidRPr="00CC3F60" w14:paraId="255C431D" w14:textId="77777777" w:rsidTr="0032359E">
        <w:trPr>
          <w:trHeight w:val="519"/>
        </w:trPr>
        <w:tc>
          <w:tcPr>
            <w:tcW w:w="2405" w:type="dxa"/>
          </w:tcPr>
          <w:p w14:paraId="582C56A4" w14:textId="6695D35C" w:rsidR="004509C9" w:rsidRPr="00CC3F60" w:rsidRDefault="004509C9" w:rsidP="0032359E">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3</w:t>
            </w:r>
          </w:p>
        </w:tc>
        <w:tc>
          <w:tcPr>
            <w:tcW w:w="7088" w:type="dxa"/>
          </w:tcPr>
          <w:p w14:paraId="0B118ABB" w14:textId="00584BD7" w:rsidR="004509C9" w:rsidRPr="00CC3F60" w:rsidRDefault="004509C9" w:rsidP="0032359E">
            <w:pPr>
              <w:spacing w:line="360" w:lineRule="auto"/>
              <w:jc w:val="both"/>
              <w:rPr>
                <w:rFonts w:cstheme="minorHAnsi"/>
                <w:b/>
                <w:bCs/>
                <w:sz w:val="24"/>
                <w:szCs w:val="24"/>
              </w:rPr>
            </w:pPr>
            <w:r w:rsidRPr="00CC3F60">
              <w:rPr>
                <w:rFonts w:cstheme="minorHAnsi"/>
                <w:b/>
                <w:bCs/>
                <w:sz w:val="24"/>
                <w:szCs w:val="24"/>
              </w:rPr>
              <w:t>DECLARAȚIE PRIVIND EVITAREA CONFLICTULUI DE INTERESE</w:t>
            </w:r>
          </w:p>
          <w:p w14:paraId="3804A5E0" w14:textId="77777777" w:rsidR="004509C9" w:rsidRPr="00CC3F60" w:rsidRDefault="004509C9" w:rsidP="0032359E">
            <w:pPr>
              <w:spacing w:line="360" w:lineRule="auto"/>
              <w:jc w:val="both"/>
              <w:rPr>
                <w:rFonts w:cstheme="minorHAnsi"/>
                <w:b/>
                <w:bCs/>
                <w:sz w:val="24"/>
                <w:szCs w:val="24"/>
              </w:rPr>
            </w:pPr>
          </w:p>
        </w:tc>
      </w:tr>
      <w:tr w:rsidR="00A35CD3" w:rsidRPr="00CC3F60" w14:paraId="0EB87525" w14:textId="77777777" w:rsidTr="0032359E">
        <w:trPr>
          <w:trHeight w:val="519"/>
        </w:trPr>
        <w:tc>
          <w:tcPr>
            <w:tcW w:w="2405" w:type="dxa"/>
          </w:tcPr>
          <w:p w14:paraId="5B8565F6" w14:textId="02A3E15D"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4</w:t>
            </w:r>
          </w:p>
        </w:tc>
        <w:tc>
          <w:tcPr>
            <w:tcW w:w="7088" w:type="dxa"/>
          </w:tcPr>
          <w:p w14:paraId="38B6B6CC" w14:textId="52BCDD55" w:rsidR="00A35CD3" w:rsidRPr="00CC3F60" w:rsidRDefault="00BB451E" w:rsidP="00BB451E">
            <w:pPr>
              <w:spacing w:line="360" w:lineRule="auto"/>
              <w:jc w:val="both"/>
              <w:rPr>
                <w:rFonts w:cstheme="minorHAnsi"/>
                <w:b/>
                <w:bCs/>
                <w:sz w:val="24"/>
                <w:szCs w:val="24"/>
              </w:rPr>
            </w:pPr>
            <w:r w:rsidRPr="00CC3F60">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27A5624A" w14:textId="77777777" w:rsidR="00A35CD3" w:rsidRPr="00CC3F60" w:rsidRDefault="00A35CD3" w:rsidP="00A35CD3">
            <w:pPr>
              <w:spacing w:line="360" w:lineRule="auto"/>
              <w:jc w:val="both"/>
              <w:rPr>
                <w:rFonts w:cstheme="minorHAnsi"/>
                <w:b/>
                <w:bCs/>
                <w:sz w:val="24"/>
                <w:szCs w:val="24"/>
              </w:rPr>
            </w:pPr>
          </w:p>
        </w:tc>
      </w:tr>
      <w:tr w:rsidR="00A35CD3" w:rsidRPr="00CC3F60" w14:paraId="77798FA2" w14:textId="77777777" w:rsidTr="004509C9">
        <w:tc>
          <w:tcPr>
            <w:tcW w:w="2405" w:type="dxa"/>
          </w:tcPr>
          <w:p w14:paraId="67BBE40F" w14:textId="547CF602"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5</w:t>
            </w:r>
          </w:p>
        </w:tc>
        <w:tc>
          <w:tcPr>
            <w:tcW w:w="7088" w:type="dxa"/>
          </w:tcPr>
          <w:p w14:paraId="37D5D78C" w14:textId="77777777"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DECLARATIE DE CONFIRMARE A ACCEPTĂRII DE CĂTRE OFERTANT A CLAUZELOR CONTRACTUALE</w:t>
            </w:r>
          </w:p>
          <w:p w14:paraId="2E290A36" w14:textId="7ED06CB4" w:rsidR="00A35CD3" w:rsidRPr="00CC3F60" w:rsidRDefault="00A35CD3" w:rsidP="00A35CD3">
            <w:pPr>
              <w:spacing w:line="360" w:lineRule="auto"/>
              <w:jc w:val="both"/>
              <w:rPr>
                <w:rFonts w:cstheme="minorHAnsi"/>
                <w:b/>
                <w:bCs/>
                <w:sz w:val="24"/>
                <w:szCs w:val="24"/>
              </w:rPr>
            </w:pPr>
          </w:p>
        </w:tc>
      </w:tr>
      <w:tr w:rsidR="00A35CD3" w:rsidRPr="00CC3F60" w14:paraId="03FE6A6B" w14:textId="77777777" w:rsidTr="004509C9">
        <w:tc>
          <w:tcPr>
            <w:tcW w:w="2405" w:type="dxa"/>
          </w:tcPr>
          <w:p w14:paraId="0D8827C6" w14:textId="0550F474"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6</w:t>
            </w:r>
          </w:p>
        </w:tc>
        <w:tc>
          <w:tcPr>
            <w:tcW w:w="7088" w:type="dxa"/>
          </w:tcPr>
          <w:p w14:paraId="6244EA26" w14:textId="63045C55"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DECLARAȚIE PRIVIND TERMENUL DE GARANȚIE ACORDAT PRODUSELOR</w:t>
            </w:r>
          </w:p>
          <w:p w14:paraId="3B6A9C64" w14:textId="77777777" w:rsidR="00A35CD3" w:rsidRPr="00CC3F60" w:rsidRDefault="00A35CD3" w:rsidP="00A35CD3">
            <w:pPr>
              <w:spacing w:line="360" w:lineRule="auto"/>
              <w:jc w:val="both"/>
              <w:rPr>
                <w:rFonts w:cstheme="minorHAnsi"/>
                <w:b/>
                <w:bCs/>
                <w:sz w:val="24"/>
                <w:szCs w:val="24"/>
              </w:rPr>
            </w:pPr>
          </w:p>
        </w:tc>
      </w:tr>
      <w:tr w:rsidR="00A35CD3" w:rsidRPr="00CC3F60" w14:paraId="4751FBDF" w14:textId="77777777" w:rsidTr="004509C9">
        <w:tc>
          <w:tcPr>
            <w:tcW w:w="2405" w:type="dxa"/>
          </w:tcPr>
          <w:p w14:paraId="58ACE0CB" w14:textId="697EED16"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7</w:t>
            </w:r>
          </w:p>
        </w:tc>
        <w:tc>
          <w:tcPr>
            <w:tcW w:w="7088" w:type="dxa"/>
          </w:tcPr>
          <w:p w14:paraId="18ECB5D6" w14:textId="77777777"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DECLARAȚIE PRIVIND RESPECTAREA PRINCIPIULUI DNSH</w:t>
            </w:r>
          </w:p>
          <w:p w14:paraId="7B38A655" w14:textId="52A6FA33" w:rsidR="00A35CD3" w:rsidRPr="00CC3F60" w:rsidRDefault="00A35CD3" w:rsidP="00A35CD3">
            <w:pPr>
              <w:spacing w:line="360" w:lineRule="auto"/>
              <w:jc w:val="both"/>
              <w:rPr>
                <w:rFonts w:cstheme="minorHAnsi"/>
                <w:b/>
                <w:bCs/>
                <w:sz w:val="24"/>
                <w:szCs w:val="24"/>
              </w:rPr>
            </w:pPr>
          </w:p>
        </w:tc>
      </w:tr>
      <w:tr w:rsidR="00A35CD3" w:rsidRPr="00CC3F60" w14:paraId="4896862E" w14:textId="77777777" w:rsidTr="004509C9">
        <w:tc>
          <w:tcPr>
            <w:tcW w:w="2405" w:type="dxa"/>
          </w:tcPr>
          <w:p w14:paraId="185A7991" w14:textId="333D36A3"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8</w:t>
            </w:r>
          </w:p>
        </w:tc>
        <w:tc>
          <w:tcPr>
            <w:tcW w:w="7088" w:type="dxa"/>
          </w:tcPr>
          <w:p w14:paraId="7E2BC2D9" w14:textId="77777777" w:rsidR="00A35CD3" w:rsidRPr="00CC3F60" w:rsidRDefault="00A35CD3" w:rsidP="00A35CD3">
            <w:pPr>
              <w:spacing w:line="360" w:lineRule="auto"/>
              <w:jc w:val="both"/>
              <w:rPr>
                <w:rFonts w:cstheme="minorHAnsi"/>
                <w:b/>
                <w:bCs/>
                <w:sz w:val="24"/>
                <w:szCs w:val="24"/>
                <w:lang w:val="it-IT"/>
              </w:rPr>
            </w:pPr>
            <w:r w:rsidRPr="00CC3F60">
              <w:rPr>
                <w:rFonts w:cstheme="minorHAnsi"/>
                <w:b/>
                <w:bCs/>
                <w:sz w:val="24"/>
                <w:szCs w:val="24"/>
                <w:lang w:val="it-IT"/>
              </w:rPr>
              <w:t>OFERTA FINANCIARĂ ȘI CENTRALIZATOR OFERTĂ FINANCIARĂ</w:t>
            </w:r>
          </w:p>
          <w:p w14:paraId="61F67FED" w14:textId="3F695104" w:rsidR="00A35CD3" w:rsidRPr="00CC3F60" w:rsidRDefault="00A35CD3" w:rsidP="00A35CD3">
            <w:pPr>
              <w:spacing w:line="360" w:lineRule="auto"/>
              <w:jc w:val="both"/>
              <w:rPr>
                <w:rFonts w:cstheme="minorHAnsi"/>
                <w:b/>
                <w:bCs/>
                <w:sz w:val="24"/>
                <w:szCs w:val="24"/>
                <w:lang w:val="it-IT"/>
              </w:rPr>
            </w:pPr>
          </w:p>
        </w:tc>
      </w:tr>
      <w:tr w:rsidR="00A35CD3" w:rsidRPr="00CC3F60" w14:paraId="4D767206" w14:textId="77777777" w:rsidTr="004509C9">
        <w:tc>
          <w:tcPr>
            <w:tcW w:w="2405" w:type="dxa"/>
          </w:tcPr>
          <w:p w14:paraId="2CCB0D09" w14:textId="3433F13A"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9</w:t>
            </w:r>
          </w:p>
        </w:tc>
        <w:tc>
          <w:tcPr>
            <w:tcW w:w="7088" w:type="dxa"/>
          </w:tcPr>
          <w:p w14:paraId="5EA82640" w14:textId="1FB010D5"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PROPUNERE TEHNICĂ</w:t>
            </w:r>
          </w:p>
          <w:p w14:paraId="590A6CAB" w14:textId="77777777" w:rsidR="00A35CD3" w:rsidRPr="00CC3F60" w:rsidRDefault="00A35CD3" w:rsidP="00A35CD3">
            <w:pPr>
              <w:spacing w:line="360" w:lineRule="auto"/>
              <w:jc w:val="both"/>
              <w:rPr>
                <w:rFonts w:cstheme="minorHAnsi"/>
                <w:b/>
                <w:bCs/>
                <w:sz w:val="24"/>
                <w:szCs w:val="24"/>
              </w:rPr>
            </w:pPr>
          </w:p>
          <w:p w14:paraId="04BFCF0A" w14:textId="5322C410" w:rsidR="00A35CD3" w:rsidRPr="00CC3F60" w:rsidRDefault="00A35CD3" w:rsidP="00A35CD3">
            <w:pPr>
              <w:spacing w:line="360" w:lineRule="auto"/>
              <w:jc w:val="both"/>
              <w:rPr>
                <w:rFonts w:cstheme="minorHAnsi"/>
                <w:b/>
                <w:bCs/>
                <w:sz w:val="24"/>
                <w:szCs w:val="24"/>
              </w:rPr>
            </w:pPr>
          </w:p>
        </w:tc>
      </w:tr>
    </w:tbl>
    <w:p w14:paraId="6612AF85" w14:textId="77777777" w:rsidR="00B6599E" w:rsidRDefault="00B6599E" w:rsidP="00BB451E">
      <w:pPr>
        <w:spacing w:after="0" w:line="360" w:lineRule="auto"/>
        <w:rPr>
          <w:rFonts w:cstheme="minorHAnsi"/>
          <w:b/>
          <w:bCs/>
          <w:sz w:val="24"/>
          <w:szCs w:val="24"/>
        </w:rPr>
      </w:pPr>
    </w:p>
    <w:p w14:paraId="558C9390" w14:textId="77777777" w:rsidR="00B6599E" w:rsidRDefault="00B6599E" w:rsidP="00EF4E48">
      <w:pPr>
        <w:spacing w:after="0" w:line="360" w:lineRule="auto"/>
        <w:jc w:val="right"/>
        <w:rPr>
          <w:rFonts w:cstheme="minorHAnsi"/>
          <w:b/>
          <w:bCs/>
          <w:sz w:val="24"/>
          <w:szCs w:val="24"/>
        </w:rPr>
      </w:pPr>
    </w:p>
    <w:p w14:paraId="14D0A634" w14:textId="77777777" w:rsidR="00B6599E" w:rsidRDefault="00B6599E" w:rsidP="00EF4E48">
      <w:pPr>
        <w:spacing w:after="0" w:line="360" w:lineRule="auto"/>
        <w:rPr>
          <w:rFonts w:cstheme="minorHAnsi"/>
          <w:b/>
          <w:bCs/>
          <w:sz w:val="24"/>
          <w:szCs w:val="24"/>
        </w:rPr>
      </w:pPr>
    </w:p>
    <w:p w14:paraId="63341504" w14:textId="77777777" w:rsidR="00CC3F60" w:rsidRDefault="00CC3F60" w:rsidP="00EF4E48">
      <w:pPr>
        <w:spacing w:after="0" w:line="360" w:lineRule="auto"/>
        <w:rPr>
          <w:rFonts w:cstheme="minorHAnsi"/>
          <w:b/>
          <w:bCs/>
          <w:sz w:val="24"/>
          <w:szCs w:val="24"/>
        </w:rPr>
      </w:pPr>
    </w:p>
    <w:p w14:paraId="4369BEBA" w14:textId="77777777" w:rsidR="00CC3F60" w:rsidRPr="00244233" w:rsidRDefault="00CC3F60" w:rsidP="00CC3F60">
      <w:pPr>
        <w:pStyle w:val="Heading2"/>
      </w:pPr>
      <w:r w:rsidRPr="00244233">
        <w:t>Formular 1</w:t>
      </w:r>
    </w:p>
    <w:p w14:paraId="4AC6C3E8" w14:textId="77777777" w:rsidR="00CC3F60" w:rsidRPr="00244233" w:rsidRDefault="00CC3F60" w:rsidP="00CC3F60">
      <w:pPr>
        <w:spacing w:after="0" w:line="360" w:lineRule="auto"/>
        <w:rPr>
          <w:rFonts w:cstheme="minorHAnsi"/>
          <w:b/>
          <w:bCs/>
        </w:rPr>
      </w:pPr>
      <w:r w:rsidRPr="00244233">
        <w:rPr>
          <w:rFonts w:cstheme="minorHAnsi"/>
          <w:b/>
          <w:bCs/>
        </w:rPr>
        <w:t>OFERTANT/SUBCONTRACTANT/ASOCIAT (după caz)</w:t>
      </w:r>
    </w:p>
    <w:p w14:paraId="4656690F" w14:textId="77777777" w:rsidR="00CC3F60" w:rsidRPr="00244233" w:rsidRDefault="00CC3F60" w:rsidP="00CC3F60">
      <w:pPr>
        <w:spacing w:after="0" w:line="360" w:lineRule="auto"/>
        <w:rPr>
          <w:rFonts w:cstheme="minorHAnsi"/>
          <w:b/>
          <w:bCs/>
        </w:rPr>
      </w:pPr>
      <w:r w:rsidRPr="00244233">
        <w:rPr>
          <w:rFonts w:cstheme="minorHAnsi"/>
          <w:b/>
          <w:bCs/>
        </w:rPr>
        <w:t>(denumirea, codul de înregistrare fiscală, adresa)</w:t>
      </w:r>
    </w:p>
    <w:p w14:paraId="7C092CC0" w14:textId="77777777" w:rsidR="00CC3F60" w:rsidRPr="00084B59" w:rsidRDefault="00CC3F60" w:rsidP="00CC3F60">
      <w:pPr>
        <w:spacing w:after="0" w:line="276" w:lineRule="auto"/>
        <w:rPr>
          <w:rFonts w:cstheme="minorHAnsi"/>
          <w:b/>
          <w:bCs/>
        </w:rPr>
      </w:pPr>
    </w:p>
    <w:p w14:paraId="0706CCD2" w14:textId="77777777" w:rsidR="00CC3F60" w:rsidRPr="00084B59" w:rsidRDefault="00CC3F60" w:rsidP="00CC3F60">
      <w:pPr>
        <w:spacing w:after="0" w:line="276" w:lineRule="auto"/>
        <w:jc w:val="center"/>
        <w:rPr>
          <w:rFonts w:cstheme="minorHAnsi"/>
          <w:b/>
          <w:bCs/>
        </w:rPr>
      </w:pPr>
      <w:r w:rsidRPr="00084B59">
        <w:rPr>
          <w:rFonts w:cstheme="minorHAnsi"/>
          <w:b/>
          <w:bCs/>
        </w:rPr>
        <w:t>ÎMPUTERNICIRE</w:t>
      </w:r>
    </w:p>
    <w:p w14:paraId="2AEC4C90" w14:textId="77777777" w:rsidR="00CC3F60" w:rsidRPr="00084B59" w:rsidRDefault="00CC3F60" w:rsidP="00CC3F60">
      <w:pPr>
        <w:spacing w:after="0" w:line="276" w:lineRule="auto"/>
        <w:jc w:val="both"/>
        <w:rPr>
          <w:rFonts w:cstheme="minorHAnsi"/>
        </w:rPr>
      </w:pPr>
    </w:p>
    <w:p w14:paraId="4641F399" w14:textId="4DA50A75" w:rsidR="00CC3F60" w:rsidRPr="00084B59" w:rsidRDefault="00CC3F60" w:rsidP="00CC3F60">
      <w:pPr>
        <w:spacing w:after="0" w:line="276" w:lineRule="auto"/>
        <w:jc w:val="both"/>
        <w:rPr>
          <w:rFonts w:cstheme="minorHAnsi"/>
        </w:rPr>
      </w:pPr>
      <w:r w:rsidRPr="00084B59">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w:t>
      </w:r>
      <w:r>
        <w:rPr>
          <w:rFonts w:cstheme="minorHAnsi"/>
        </w:rPr>
        <w:t>.......................................................................</w:t>
      </w:r>
      <w:r w:rsidRPr="00084B59">
        <w:rPr>
          <w:rFonts w:cstheme="minorHAnsi"/>
        </w:rPr>
        <w:t>”,  inițiată de către Universitatea Româno-Americană.</w:t>
      </w:r>
    </w:p>
    <w:p w14:paraId="6B2B12C4" w14:textId="77777777" w:rsidR="00CC3F60" w:rsidRPr="00084B59" w:rsidRDefault="00CC3F60" w:rsidP="00CC3F60">
      <w:pPr>
        <w:spacing w:after="0" w:line="276" w:lineRule="auto"/>
        <w:jc w:val="both"/>
        <w:rPr>
          <w:rFonts w:cstheme="minorHAnsi"/>
        </w:rPr>
      </w:pPr>
      <w:r w:rsidRPr="00084B59">
        <w:rPr>
          <w:rFonts w:cstheme="minorHAnsi"/>
        </w:rPr>
        <w:t xml:space="preserve">Pentru îndeplinirea mandatului său, Împuternicitul va avea următoarele drepturi și obligatii: </w:t>
      </w:r>
    </w:p>
    <w:p w14:paraId="6E7BCF67" w14:textId="77777777" w:rsidR="00CC3F60" w:rsidRPr="00084B59" w:rsidRDefault="00CC3F60" w:rsidP="00CC3F60">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legatura cu participarea la procedura; </w:t>
      </w:r>
    </w:p>
    <w:p w14:paraId="1ED09955" w14:textId="77777777" w:rsidR="00CC3F60" w:rsidRPr="00084B59" w:rsidRDefault="00CC3F60" w:rsidP="00CC3F60">
      <w:pPr>
        <w:spacing w:after="0" w:line="276" w:lineRule="auto"/>
        <w:jc w:val="both"/>
        <w:rPr>
          <w:rFonts w:cstheme="minorHAnsi"/>
        </w:rPr>
      </w:pPr>
      <w:r w:rsidRPr="00084B59">
        <w:rPr>
          <w:rFonts w:cstheme="minorHAnsi"/>
        </w:rPr>
        <w:t xml:space="preserve">2. Să răspundă solicitarilor de clarificare formulate de catre Comisia de evaluare în timpul desfășurării procedurii. </w:t>
      </w:r>
    </w:p>
    <w:p w14:paraId="43970F8C" w14:textId="77777777" w:rsidR="00CC3F60" w:rsidRPr="00084B59" w:rsidRDefault="00CC3F60" w:rsidP="00CC3F60">
      <w:pPr>
        <w:spacing w:after="0" w:line="276" w:lineRule="auto"/>
        <w:jc w:val="both"/>
        <w:rPr>
          <w:rFonts w:cstheme="minorHAnsi"/>
        </w:rPr>
      </w:pPr>
      <w:r w:rsidRPr="00084B59">
        <w:rPr>
          <w:rFonts w:cstheme="minorHAnsi"/>
        </w:rPr>
        <w:t xml:space="preserve">Prin prezenta, Împuternicitul nostru este pe deplin autorizat sa angajeze raspunderea subscrisei cu privire la toate actele si faptele ce decurg din participarea la procedura. </w:t>
      </w:r>
    </w:p>
    <w:p w14:paraId="153C3425" w14:textId="77777777" w:rsidR="00CC3F60" w:rsidRPr="00084B59" w:rsidRDefault="00CC3F60" w:rsidP="00CC3F60">
      <w:pPr>
        <w:spacing w:after="0" w:line="276" w:lineRule="auto"/>
        <w:jc w:val="both"/>
        <w:rPr>
          <w:rFonts w:cstheme="minorHAnsi"/>
          <w:b/>
          <w:bCs/>
        </w:rPr>
      </w:pPr>
    </w:p>
    <w:p w14:paraId="41A93174" w14:textId="77777777" w:rsidR="00CC3F60" w:rsidRPr="00084B59" w:rsidRDefault="00CC3F60" w:rsidP="00CC3F60">
      <w:pPr>
        <w:spacing w:after="0" w:line="276" w:lineRule="auto"/>
        <w:jc w:val="both"/>
        <w:rPr>
          <w:rFonts w:cstheme="minorHAnsi"/>
        </w:rPr>
      </w:pPr>
      <w:r w:rsidRPr="00084B59">
        <w:rPr>
          <w:rFonts w:cstheme="minorHAnsi"/>
        </w:rPr>
        <w:t xml:space="preserve">Data Denumirea mandantului </w:t>
      </w:r>
    </w:p>
    <w:p w14:paraId="12DB09F5" w14:textId="77777777" w:rsidR="00CC3F60" w:rsidRPr="00084B59" w:rsidRDefault="00CC3F60" w:rsidP="00CC3F60">
      <w:pPr>
        <w:spacing w:after="0" w:line="276" w:lineRule="auto"/>
        <w:jc w:val="both"/>
        <w:rPr>
          <w:rFonts w:cstheme="minorHAnsi"/>
        </w:rPr>
      </w:pPr>
      <w:r w:rsidRPr="00084B59">
        <w:rPr>
          <w:rFonts w:cstheme="minorHAnsi"/>
        </w:rPr>
        <w:t xml:space="preserve"> S.C. ………………………………… </w:t>
      </w:r>
    </w:p>
    <w:p w14:paraId="7819B52C" w14:textId="77777777" w:rsidR="00CC3F60" w:rsidRPr="00084B59" w:rsidRDefault="00CC3F60" w:rsidP="00CC3F60">
      <w:pPr>
        <w:spacing w:after="0" w:line="276" w:lineRule="auto"/>
        <w:jc w:val="both"/>
        <w:rPr>
          <w:rFonts w:cstheme="minorHAnsi"/>
        </w:rPr>
      </w:pPr>
      <w:r w:rsidRPr="00084B59">
        <w:rPr>
          <w:rFonts w:cstheme="minorHAnsi"/>
        </w:rPr>
        <w:t xml:space="preserve">reprezentata legal prin </w:t>
      </w:r>
    </w:p>
    <w:p w14:paraId="0D484988" w14:textId="77777777" w:rsidR="00CC3F60" w:rsidRPr="00084B59" w:rsidRDefault="00CC3F60" w:rsidP="00CC3F60">
      <w:pPr>
        <w:spacing w:after="0" w:line="276" w:lineRule="auto"/>
        <w:rPr>
          <w:rFonts w:cstheme="minorHAnsi"/>
        </w:rPr>
      </w:pPr>
    </w:p>
    <w:p w14:paraId="2939934A" w14:textId="77777777" w:rsidR="00CC3F60" w:rsidRPr="00084B59" w:rsidRDefault="00CC3F60" w:rsidP="00CC3F60">
      <w:pPr>
        <w:spacing w:after="0" w:line="276" w:lineRule="auto"/>
        <w:rPr>
          <w:rFonts w:cstheme="minorHAnsi"/>
        </w:rPr>
      </w:pPr>
      <w:r w:rsidRPr="00084B59">
        <w:rPr>
          <w:rFonts w:cstheme="minorHAnsi"/>
        </w:rPr>
        <w:t xml:space="preserve">(Nume, prenume) </w:t>
      </w:r>
    </w:p>
    <w:p w14:paraId="20D45028" w14:textId="77777777" w:rsidR="00CC3F60" w:rsidRPr="00084B59" w:rsidRDefault="00CC3F60" w:rsidP="00CC3F60">
      <w:pPr>
        <w:spacing w:after="0" w:line="276" w:lineRule="auto"/>
        <w:rPr>
          <w:rFonts w:cstheme="minorHAnsi"/>
        </w:rPr>
      </w:pPr>
      <w:r w:rsidRPr="00084B59">
        <w:rPr>
          <w:rFonts w:cstheme="minorHAnsi"/>
        </w:rPr>
        <w:t xml:space="preserve">___________________________ </w:t>
      </w:r>
    </w:p>
    <w:p w14:paraId="0C13D2F2" w14:textId="77777777" w:rsidR="00CC3F60" w:rsidRPr="00084B59" w:rsidRDefault="00CC3F60" w:rsidP="00CC3F60">
      <w:pPr>
        <w:spacing w:after="0" w:line="276" w:lineRule="auto"/>
        <w:rPr>
          <w:rFonts w:cstheme="minorHAnsi"/>
        </w:rPr>
      </w:pPr>
      <w:r w:rsidRPr="00084B59">
        <w:rPr>
          <w:rFonts w:cstheme="minorHAnsi"/>
        </w:rPr>
        <w:t xml:space="preserve">(Functie) </w:t>
      </w:r>
    </w:p>
    <w:p w14:paraId="6F903B2B" w14:textId="77777777" w:rsidR="00CC3F60" w:rsidRPr="00084B59" w:rsidRDefault="00CC3F60" w:rsidP="00CC3F60">
      <w:pPr>
        <w:spacing w:after="0" w:line="276" w:lineRule="auto"/>
        <w:rPr>
          <w:rFonts w:cstheme="minorHAnsi"/>
        </w:rPr>
      </w:pPr>
      <w:r w:rsidRPr="00084B59">
        <w:rPr>
          <w:rFonts w:cstheme="minorHAnsi"/>
        </w:rPr>
        <w:t xml:space="preserve">___________________________ </w:t>
      </w:r>
    </w:p>
    <w:p w14:paraId="0B3AD5BD" w14:textId="77777777" w:rsidR="00CC3F60" w:rsidRPr="00084B59" w:rsidRDefault="00CC3F60" w:rsidP="00CC3F60">
      <w:pPr>
        <w:spacing w:after="0" w:line="276" w:lineRule="auto"/>
        <w:rPr>
          <w:rFonts w:cstheme="minorHAnsi"/>
        </w:rPr>
      </w:pPr>
      <w:r w:rsidRPr="00084B59">
        <w:rPr>
          <w:rFonts w:cstheme="minorHAnsi"/>
        </w:rPr>
        <w:t xml:space="preserve">(Semnatura autorizata si stampila) </w:t>
      </w:r>
    </w:p>
    <w:p w14:paraId="6B266389" w14:textId="77777777" w:rsidR="00CC3F60" w:rsidRPr="00084B59" w:rsidRDefault="00CC3F60" w:rsidP="00CC3F60">
      <w:pPr>
        <w:spacing w:after="0" w:line="276" w:lineRule="auto"/>
        <w:rPr>
          <w:rFonts w:cstheme="minorHAnsi"/>
        </w:rPr>
      </w:pPr>
      <w:r w:rsidRPr="00084B59">
        <w:rPr>
          <w:rFonts w:cstheme="minorHAnsi"/>
        </w:rPr>
        <w:t>Operator economic</w:t>
      </w:r>
    </w:p>
    <w:p w14:paraId="3AC58198" w14:textId="77777777" w:rsidR="00CC3F60" w:rsidRPr="00084B59" w:rsidRDefault="00CC3F60" w:rsidP="00CC3F60">
      <w:pPr>
        <w:spacing w:after="0" w:line="276" w:lineRule="auto"/>
        <w:rPr>
          <w:rFonts w:cstheme="minorHAnsi"/>
        </w:rPr>
      </w:pPr>
      <w:r w:rsidRPr="00084B59">
        <w:rPr>
          <w:rFonts w:cstheme="minorHAnsi"/>
        </w:rPr>
        <w:t>................................</w:t>
      </w:r>
    </w:p>
    <w:p w14:paraId="460983C1" w14:textId="77777777" w:rsidR="00CC3F60" w:rsidRPr="00084B59" w:rsidRDefault="00CC3F60" w:rsidP="00CC3F60">
      <w:pPr>
        <w:spacing w:after="0" w:line="276" w:lineRule="auto"/>
        <w:rPr>
          <w:rFonts w:cstheme="minorHAnsi"/>
        </w:rPr>
      </w:pPr>
      <w:r w:rsidRPr="00084B59">
        <w:rPr>
          <w:rFonts w:cstheme="minorHAnsi"/>
        </w:rPr>
        <w:t>(denumirea/numele)</w:t>
      </w:r>
    </w:p>
    <w:p w14:paraId="76104D4A" w14:textId="77777777" w:rsidR="00CC3F60" w:rsidRPr="00084B59" w:rsidRDefault="00CC3F60" w:rsidP="00CC3F60">
      <w:pPr>
        <w:spacing w:after="0" w:line="360" w:lineRule="auto"/>
        <w:rPr>
          <w:rFonts w:cstheme="minorHAnsi"/>
          <w:b/>
          <w:bCs/>
          <w:sz w:val="24"/>
          <w:szCs w:val="24"/>
        </w:rPr>
      </w:pPr>
    </w:p>
    <w:p w14:paraId="6A720957" w14:textId="77777777" w:rsidR="00CC3F60" w:rsidRPr="00084B59" w:rsidRDefault="00CC3F60" w:rsidP="00CC3F60">
      <w:pPr>
        <w:spacing w:after="0" w:line="360" w:lineRule="auto"/>
        <w:rPr>
          <w:rFonts w:cstheme="minorHAnsi"/>
          <w:b/>
          <w:bCs/>
          <w:sz w:val="24"/>
          <w:szCs w:val="24"/>
        </w:rPr>
      </w:pPr>
    </w:p>
    <w:p w14:paraId="33DD3961" w14:textId="77777777" w:rsidR="00CC3F60" w:rsidRPr="00084B59" w:rsidRDefault="00CC3F60" w:rsidP="00CC3F60">
      <w:pPr>
        <w:spacing w:after="0" w:line="360" w:lineRule="auto"/>
        <w:rPr>
          <w:rFonts w:cstheme="minorHAnsi"/>
          <w:b/>
          <w:bCs/>
          <w:sz w:val="24"/>
          <w:szCs w:val="24"/>
        </w:rPr>
      </w:pPr>
    </w:p>
    <w:p w14:paraId="48EF11DC" w14:textId="77777777" w:rsidR="00CC3F60" w:rsidRPr="00244233" w:rsidRDefault="00CC3F60" w:rsidP="00CC3F60">
      <w:pPr>
        <w:pStyle w:val="Heading2"/>
      </w:pPr>
      <w:r w:rsidRPr="00244233">
        <w:t xml:space="preserve">Formular </w:t>
      </w:r>
      <w:r>
        <w:t>2</w:t>
      </w:r>
    </w:p>
    <w:p w14:paraId="168CF3AD" w14:textId="77777777" w:rsidR="00CC3F60" w:rsidRPr="00084B59" w:rsidRDefault="00CC3F60" w:rsidP="00CC3F60">
      <w:pPr>
        <w:spacing w:after="0" w:line="360" w:lineRule="auto"/>
        <w:rPr>
          <w:rFonts w:cstheme="minorHAnsi"/>
          <w:b/>
          <w:bCs/>
          <w:sz w:val="24"/>
          <w:szCs w:val="24"/>
        </w:rPr>
      </w:pPr>
    </w:p>
    <w:p w14:paraId="386CE3A7" w14:textId="77777777" w:rsidR="00CC3F60" w:rsidRPr="00084B59" w:rsidRDefault="00CC3F60" w:rsidP="00CC3F60">
      <w:pPr>
        <w:spacing w:after="0" w:line="360" w:lineRule="auto"/>
        <w:jc w:val="center"/>
        <w:rPr>
          <w:rFonts w:cstheme="minorHAnsi"/>
          <w:b/>
          <w:bCs/>
        </w:rPr>
      </w:pPr>
      <w:r w:rsidRPr="00084B59">
        <w:rPr>
          <w:rFonts w:cstheme="minorHAnsi"/>
          <w:b/>
          <w:bCs/>
        </w:rPr>
        <w:t>INFORMATII GENERALE</w:t>
      </w:r>
    </w:p>
    <w:p w14:paraId="44665329" w14:textId="77777777" w:rsidR="00CC3F60" w:rsidRPr="00084B59" w:rsidRDefault="00CC3F60" w:rsidP="00CC3F60">
      <w:pPr>
        <w:spacing w:after="0" w:line="360" w:lineRule="auto"/>
        <w:rPr>
          <w:rFonts w:cstheme="minorHAnsi"/>
          <w:b/>
          <w:bCs/>
        </w:rPr>
      </w:pPr>
    </w:p>
    <w:p w14:paraId="24912F67" w14:textId="77777777" w:rsidR="00CC3F60" w:rsidRPr="00084B59" w:rsidRDefault="00CC3F60" w:rsidP="00CC3F60">
      <w:pPr>
        <w:spacing w:after="0" w:line="360" w:lineRule="auto"/>
        <w:jc w:val="both"/>
        <w:rPr>
          <w:rFonts w:cstheme="minorHAnsi"/>
          <w:b/>
          <w:bCs/>
        </w:rPr>
      </w:pPr>
      <w:r w:rsidRPr="00084B59">
        <w:rPr>
          <w:rFonts w:cstheme="minorHAnsi"/>
          <w:b/>
          <w:bCs/>
        </w:rPr>
        <w:t>1.</w:t>
      </w:r>
      <w:r w:rsidRPr="00084B59">
        <w:rPr>
          <w:rFonts w:cstheme="minorHAnsi"/>
          <w:b/>
          <w:bCs/>
        </w:rPr>
        <w:tab/>
        <w:t xml:space="preserve">Denumirea/numele (Ofertant): </w:t>
      </w:r>
    </w:p>
    <w:p w14:paraId="70D43E48" w14:textId="77777777" w:rsidR="00CC3F60" w:rsidRPr="00084B59" w:rsidRDefault="00CC3F60" w:rsidP="00CC3F60">
      <w:pPr>
        <w:spacing w:after="0" w:line="360" w:lineRule="auto"/>
        <w:jc w:val="both"/>
        <w:rPr>
          <w:rFonts w:cstheme="minorHAnsi"/>
          <w:b/>
          <w:bCs/>
        </w:rPr>
      </w:pPr>
    </w:p>
    <w:p w14:paraId="19665562" w14:textId="77777777" w:rsidR="00CC3F60" w:rsidRPr="00084B59" w:rsidRDefault="00CC3F60" w:rsidP="00CC3F60">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05E64295" w14:textId="77777777" w:rsidR="00CC3F60" w:rsidRPr="00084B59" w:rsidRDefault="00CC3F60" w:rsidP="00CC3F60">
      <w:pPr>
        <w:spacing w:after="0" w:line="360" w:lineRule="auto"/>
        <w:jc w:val="both"/>
        <w:rPr>
          <w:rFonts w:cstheme="minorHAnsi"/>
          <w:b/>
          <w:bCs/>
        </w:rPr>
      </w:pPr>
    </w:p>
    <w:p w14:paraId="6D950786" w14:textId="77777777" w:rsidR="00CC3F60" w:rsidRPr="00084B59" w:rsidRDefault="00CC3F60" w:rsidP="00CC3F60">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094E7EC4" w14:textId="77777777" w:rsidR="00CC3F60" w:rsidRPr="00084B59" w:rsidRDefault="00CC3F60" w:rsidP="00CC3F60">
      <w:pPr>
        <w:spacing w:after="0" w:line="360" w:lineRule="auto"/>
        <w:jc w:val="both"/>
        <w:rPr>
          <w:rFonts w:cstheme="minorHAnsi"/>
          <w:b/>
          <w:bCs/>
        </w:rPr>
      </w:pPr>
      <w:r w:rsidRPr="00084B59">
        <w:rPr>
          <w:rFonts w:cstheme="minorHAnsi"/>
          <w:b/>
          <w:bCs/>
        </w:rPr>
        <w:t xml:space="preserve"> </w:t>
      </w:r>
    </w:p>
    <w:p w14:paraId="2361EC03" w14:textId="77777777" w:rsidR="00CC3F60" w:rsidRPr="00084B59" w:rsidRDefault="00CC3F60" w:rsidP="00CC3F60">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.........../(numarul, data si locul de inmatriculare/inregistrare)</w:t>
      </w:r>
    </w:p>
    <w:p w14:paraId="7EA7FB83" w14:textId="77777777" w:rsidR="00CC3F60" w:rsidRPr="00084B59" w:rsidRDefault="00CC3F60" w:rsidP="00CC3F60">
      <w:pPr>
        <w:spacing w:after="0" w:line="360" w:lineRule="auto"/>
        <w:jc w:val="both"/>
        <w:rPr>
          <w:rFonts w:cstheme="minorHAnsi"/>
          <w:b/>
          <w:bCs/>
        </w:rPr>
      </w:pPr>
    </w:p>
    <w:p w14:paraId="0D68DB49" w14:textId="77777777" w:rsidR="00CC3F60" w:rsidRPr="00084B59" w:rsidRDefault="00CC3F60" w:rsidP="00CC3F60">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0AB13B64" w14:textId="77777777" w:rsidR="00CC3F60" w:rsidRPr="00084B59" w:rsidRDefault="00CC3F60" w:rsidP="00CC3F60">
      <w:pPr>
        <w:spacing w:after="0" w:line="360" w:lineRule="auto"/>
        <w:jc w:val="both"/>
        <w:rPr>
          <w:rFonts w:cstheme="minorHAnsi"/>
          <w:b/>
          <w:bCs/>
        </w:rPr>
      </w:pPr>
    </w:p>
    <w:p w14:paraId="4C4023D3" w14:textId="77777777" w:rsidR="00CC3F60" w:rsidRPr="00084B59" w:rsidRDefault="00CC3F60" w:rsidP="00CC3F60">
      <w:pPr>
        <w:spacing w:after="0" w:line="360" w:lineRule="auto"/>
        <w:jc w:val="both"/>
        <w:rPr>
          <w:rFonts w:cstheme="minorHAnsi"/>
          <w:b/>
          <w:bCs/>
        </w:rPr>
      </w:pPr>
      <w:r w:rsidRPr="00084B59">
        <w:rPr>
          <w:rFonts w:cstheme="minorHAnsi"/>
          <w:b/>
          <w:bCs/>
        </w:rPr>
        <w:t xml:space="preserve"> </w:t>
      </w:r>
    </w:p>
    <w:p w14:paraId="53AB2DD8" w14:textId="77777777" w:rsidR="00CC3F60" w:rsidRPr="00084B59" w:rsidRDefault="00CC3F60" w:rsidP="00CC3F60">
      <w:pPr>
        <w:spacing w:after="0" w:line="360" w:lineRule="auto"/>
        <w:rPr>
          <w:rFonts w:cstheme="minorHAnsi"/>
          <w:b/>
          <w:bCs/>
        </w:rPr>
      </w:pPr>
      <w:r w:rsidRPr="00084B59">
        <w:rPr>
          <w:rFonts w:cstheme="minorHAnsi"/>
          <w:b/>
          <w:bCs/>
        </w:rPr>
        <w:t xml:space="preserve">Ofertant, </w:t>
      </w:r>
    </w:p>
    <w:p w14:paraId="690A894A" w14:textId="77777777" w:rsidR="00CC3F60" w:rsidRPr="00084B59" w:rsidRDefault="00CC3F60" w:rsidP="00CC3F60">
      <w:pPr>
        <w:spacing w:after="0" w:line="360" w:lineRule="auto"/>
        <w:rPr>
          <w:rFonts w:cstheme="minorHAnsi"/>
          <w:b/>
          <w:bCs/>
        </w:rPr>
      </w:pPr>
      <w:r w:rsidRPr="00084B59">
        <w:rPr>
          <w:rFonts w:cstheme="minorHAnsi"/>
          <w:b/>
          <w:bCs/>
        </w:rPr>
        <w:t xml:space="preserve">.................... </w:t>
      </w:r>
    </w:p>
    <w:p w14:paraId="5441C335" w14:textId="77777777" w:rsidR="00CC3F60" w:rsidRPr="00084B59" w:rsidRDefault="00CC3F60" w:rsidP="00CC3F60">
      <w:pPr>
        <w:spacing w:after="0" w:line="360" w:lineRule="auto"/>
        <w:rPr>
          <w:rFonts w:cstheme="minorHAnsi"/>
          <w:b/>
          <w:bCs/>
        </w:rPr>
      </w:pPr>
      <w:r w:rsidRPr="00084B59">
        <w:rPr>
          <w:rFonts w:cstheme="minorHAnsi"/>
          <w:b/>
          <w:bCs/>
        </w:rPr>
        <w:t>(semnatura autorizata)</w:t>
      </w:r>
    </w:p>
    <w:p w14:paraId="7210404B" w14:textId="77777777" w:rsidR="00CC3F60" w:rsidRDefault="00CC3F60" w:rsidP="00EF4E48">
      <w:pPr>
        <w:spacing w:after="0" w:line="360" w:lineRule="auto"/>
        <w:rPr>
          <w:rFonts w:cstheme="minorHAnsi"/>
          <w:b/>
          <w:bCs/>
          <w:sz w:val="24"/>
          <w:szCs w:val="24"/>
        </w:rPr>
      </w:pPr>
    </w:p>
    <w:p w14:paraId="3C8F76AD" w14:textId="77777777" w:rsidR="00CC3F60" w:rsidRDefault="00CC3F60" w:rsidP="00EF4E48">
      <w:pPr>
        <w:spacing w:after="0" w:line="360" w:lineRule="auto"/>
        <w:rPr>
          <w:rFonts w:cstheme="minorHAnsi"/>
          <w:b/>
          <w:bCs/>
          <w:sz w:val="24"/>
          <w:szCs w:val="24"/>
        </w:rPr>
      </w:pPr>
    </w:p>
    <w:p w14:paraId="39828FB3" w14:textId="77777777" w:rsidR="00CC3F60" w:rsidRDefault="00CC3F60" w:rsidP="00EF4E48">
      <w:pPr>
        <w:spacing w:after="0" w:line="360" w:lineRule="auto"/>
        <w:rPr>
          <w:rFonts w:cstheme="minorHAnsi"/>
          <w:b/>
          <w:bCs/>
          <w:sz w:val="24"/>
          <w:szCs w:val="24"/>
        </w:rPr>
      </w:pPr>
    </w:p>
    <w:p w14:paraId="0A579164" w14:textId="77777777" w:rsidR="00CC3F60" w:rsidRDefault="00CC3F60" w:rsidP="00EF4E48">
      <w:pPr>
        <w:spacing w:after="0" w:line="360" w:lineRule="auto"/>
        <w:rPr>
          <w:rFonts w:cstheme="minorHAnsi"/>
          <w:b/>
          <w:bCs/>
          <w:sz w:val="24"/>
          <w:szCs w:val="24"/>
        </w:rPr>
      </w:pPr>
    </w:p>
    <w:p w14:paraId="11E7586B" w14:textId="77777777" w:rsidR="00CC3F60" w:rsidRDefault="00CC3F60" w:rsidP="00EF4E48">
      <w:pPr>
        <w:spacing w:after="0" w:line="360" w:lineRule="auto"/>
        <w:rPr>
          <w:rFonts w:cstheme="minorHAnsi"/>
          <w:b/>
          <w:bCs/>
          <w:sz w:val="24"/>
          <w:szCs w:val="24"/>
        </w:rPr>
      </w:pPr>
    </w:p>
    <w:p w14:paraId="50E1CFC5" w14:textId="77777777" w:rsidR="00CC3F60" w:rsidRDefault="00CC3F60" w:rsidP="00EF4E48">
      <w:pPr>
        <w:spacing w:after="0" w:line="360" w:lineRule="auto"/>
        <w:rPr>
          <w:rFonts w:cstheme="minorHAnsi"/>
          <w:b/>
          <w:bCs/>
          <w:sz w:val="24"/>
          <w:szCs w:val="24"/>
        </w:rPr>
      </w:pPr>
    </w:p>
    <w:p w14:paraId="667E0662" w14:textId="77777777" w:rsidR="00CC3F60" w:rsidRDefault="00CC3F60" w:rsidP="00EF4E48">
      <w:pPr>
        <w:spacing w:after="0" w:line="360" w:lineRule="auto"/>
        <w:rPr>
          <w:rFonts w:cstheme="minorHAnsi"/>
          <w:b/>
          <w:bCs/>
          <w:sz w:val="24"/>
          <w:szCs w:val="24"/>
        </w:rPr>
      </w:pPr>
    </w:p>
    <w:p w14:paraId="1F8A5CFA" w14:textId="77777777" w:rsidR="00CC3F60" w:rsidRDefault="00CC3F60" w:rsidP="00EF4E48">
      <w:pPr>
        <w:spacing w:after="0" w:line="360" w:lineRule="auto"/>
        <w:rPr>
          <w:rFonts w:cstheme="minorHAnsi"/>
          <w:b/>
          <w:bCs/>
          <w:sz w:val="24"/>
          <w:szCs w:val="24"/>
        </w:rPr>
      </w:pPr>
    </w:p>
    <w:p w14:paraId="2DF3D951" w14:textId="77777777" w:rsidR="00CC3F60" w:rsidRDefault="00CC3F60" w:rsidP="00EF4E48">
      <w:pPr>
        <w:spacing w:after="0" w:line="360" w:lineRule="auto"/>
        <w:rPr>
          <w:rFonts w:cstheme="minorHAnsi"/>
          <w:b/>
          <w:bCs/>
          <w:sz w:val="24"/>
          <w:szCs w:val="24"/>
        </w:rPr>
      </w:pPr>
    </w:p>
    <w:p w14:paraId="77470A7E" w14:textId="77777777" w:rsidR="00CC3F60" w:rsidRDefault="00CC3F60" w:rsidP="00EF4E48">
      <w:pPr>
        <w:spacing w:after="0" w:line="360" w:lineRule="auto"/>
        <w:rPr>
          <w:rFonts w:cstheme="minorHAnsi"/>
          <w:b/>
          <w:bCs/>
          <w:sz w:val="24"/>
          <w:szCs w:val="24"/>
        </w:rPr>
      </w:pPr>
    </w:p>
    <w:p w14:paraId="57F64768" w14:textId="77777777" w:rsidR="00CC3F60" w:rsidRDefault="00CC3F60" w:rsidP="00EF4E48">
      <w:pPr>
        <w:spacing w:after="0" w:line="360" w:lineRule="auto"/>
        <w:rPr>
          <w:rFonts w:cstheme="minorHAnsi"/>
          <w:b/>
          <w:bCs/>
          <w:sz w:val="24"/>
          <w:szCs w:val="24"/>
        </w:rPr>
      </w:pPr>
    </w:p>
    <w:p w14:paraId="193F4A60" w14:textId="20413CAD" w:rsidR="00BA7040" w:rsidRPr="00244233" w:rsidRDefault="006E0E71" w:rsidP="00CC3F60">
      <w:pPr>
        <w:pStyle w:val="Heading2"/>
      </w:pPr>
      <w:bookmarkStart w:id="0" w:name="_Hlk174451890"/>
      <w:r w:rsidRPr="00244233">
        <w:t xml:space="preserve">Formular </w:t>
      </w:r>
      <w:r w:rsidR="00CC3F60">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276B57C" w:rsidR="006E0E71" w:rsidRPr="00244233" w:rsidRDefault="006E0E71" w:rsidP="00EF4E48">
      <w:pPr>
        <w:spacing w:after="0" w:line="360" w:lineRule="auto"/>
        <w:jc w:val="both"/>
        <w:rPr>
          <w:rFonts w:cstheme="minorHAnsi"/>
        </w:rPr>
      </w:pPr>
      <w:r w:rsidRPr="00244233">
        <w:rPr>
          <w:rFonts w:cstheme="minorHAnsi"/>
        </w:rPr>
        <w:t xml:space="preserve">Subsemnatul/a ............................., CNP ........................... în calitate de reprezentant legal al............................................., referitor la procedura de achiziție ........................................,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lastRenderedPageBreak/>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0D12CC82" w14:textId="77777777" w:rsidR="00A13C78" w:rsidRDefault="00A13C78" w:rsidP="00EF4E48">
      <w:pPr>
        <w:spacing w:after="0" w:line="360" w:lineRule="auto"/>
        <w:jc w:val="both"/>
        <w:rPr>
          <w:rFonts w:cstheme="minorHAnsi"/>
          <w:sz w:val="24"/>
          <w:szCs w:val="24"/>
        </w:rPr>
      </w:pPr>
    </w:p>
    <w:p w14:paraId="4A0F7595" w14:textId="0C5E986C" w:rsidR="00CC3F60" w:rsidRPr="00244233" w:rsidRDefault="00CC3F60" w:rsidP="00CC3F60">
      <w:pPr>
        <w:pStyle w:val="Heading2"/>
      </w:pPr>
      <w:r w:rsidRPr="00244233">
        <w:t xml:space="preserve">Formular </w:t>
      </w:r>
      <w:r>
        <w:t>4</w:t>
      </w:r>
    </w:p>
    <w:p w14:paraId="217059D7" w14:textId="77777777" w:rsidR="00D672CE" w:rsidRDefault="00D672CE" w:rsidP="00696790">
      <w:pPr>
        <w:spacing w:after="0" w:line="360" w:lineRule="auto"/>
        <w:jc w:val="both"/>
        <w:rPr>
          <w:rFonts w:cstheme="minorHAnsi"/>
          <w:b/>
          <w:bCs/>
          <w:sz w:val="24"/>
          <w:szCs w:val="24"/>
        </w:rPr>
      </w:pP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Default="00BB451E" w:rsidP="00EF4E48">
      <w:pPr>
        <w:spacing w:after="0" w:line="360" w:lineRule="auto"/>
        <w:jc w:val="both"/>
        <w:rPr>
          <w:rFonts w:cstheme="minorHAnsi"/>
          <w:sz w:val="24"/>
          <w:szCs w:val="24"/>
        </w:rPr>
      </w:pPr>
    </w:p>
    <w:p w14:paraId="328DD105" w14:textId="71234F4E" w:rsidR="00A33D69" w:rsidRPr="00A33D69" w:rsidRDefault="00A33D69" w:rsidP="007805EE">
      <w:pPr>
        <w:spacing w:after="0" w:line="360" w:lineRule="auto"/>
        <w:jc w:val="both"/>
        <w:rPr>
          <w:rFonts w:cstheme="minorHAnsi"/>
        </w:rPr>
      </w:pPr>
      <w:r w:rsidRPr="00A33D69">
        <w:rPr>
          <w:rFonts w:cstheme="minorHAnsi"/>
        </w:rPr>
        <w:t>Subsemnatul (a),.........., posesor/posesoare al/a CI/BI seria.......... nr..........., eliberat (ă) de.........., în calitate de reprezentant legal al.........., cu sediul social în.........., cod de înregistrare fiscală.........., referitor la procedura de achiziţie</w:t>
      </w:r>
      <w:r w:rsidR="00B11444">
        <w:rPr>
          <w:rFonts w:cstheme="minorHAnsi"/>
          <w:i/>
          <w:iCs/>
        </w:rPr>
        <w:t xml:space="preserve"> </w:t>
      </w:r>
      <w:r w:rsidR="00B11444" w:rsidRPr="00B11444">
        <w:rPr>
          <w:rFonts w:cstheme="minorHAnsi"/>
          <w:i/>
          <w:iCs/>
        </w:rPr>
        <w:t>Dotarea cu echipamente digitale și accesorii a Centrului de cercetare și creare conținut media_</w:t>
      </w:r>
      <w:r w:rsidR="00B11444">
        <w:rPr>
          <w:rFonts w:cstheme="minorHAnsi"/>
          <w:i/>
          <w:iCs/>
        </w:rPr>
        <w:t>Lot 1</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finanţare </w:t>
      </w:r>
      <w:r w:rsidR="00F8130B" w:rsidRPr="00F8130B">
        <w:rPr>
          <w:rFonts w:cstheme="minorHAnsi"/>
        </w:rPr>
        <w:t>nr. 14031/16.09.2022</w:t>
      </w:r>
      <w:r w:rsidRPr="00A33D69">
        <w:rPr>
          <w:rFonts w:cstheme="minorHAnsi"/>
        </w:rPr>
        <w:t>, pe propria răspundere, sub sancţiunea falsului în declaraţii, aşa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privind Codul penal, cu modificările şi completările ulterioare, şi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din Legea nr. 78/2000 pentru prevenirea, descoperirea şi sancţionarea faptelor de corupţie, cu modificările şi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nu am cunoştinţă de vreo situaţie de "dublă finanţare", aşa cum este ea definită la </w:t>
      </w:r>
      <w:hyperlink r:id="rId14" w:anchor="p-337228158" w:tgtFrame="_blank" w:history="1">
        <w:r w:rsidRPr="001D332D">
          <w:rPr>
            <w:rStyle w:val="Hyperlink"/>
            <w:rFonts w:cstheme="minorHAnsi"/>
            <w:color w:val="auto"/>
          </w:rPr>
          <w:t>art. 9</w:t>
        </w:r>
      </w:hyperlink>
      <w:r w:rsidRPr="001D332D">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(UE) nr. 1.303/2013, (UE) nr. 1.304/2013, (UE) nr. 1.309/2013, (UE) nr. 1.316/2013, (UE) nr. 223/2014, (UE) nr. 283/2014 şi a Deciziei </w:t>
      </w:r>
      <w:hyperlink r:id="rId17" w:tgtFrame="_blank" w:history="1">
        <w:r w:rsidRPr="001D332D">
          <w:rPr>
            <w:rStyle w:val="Hyperlink"/>
            <w:rFonts w:cstheme="minorHAnsi"/>
            <w:color w:val="auto"/>
          </w:rPr>
          <w:t>nr. 541/2014/UE</w:t>
        </w:r>
      </w:hyperlink>
      <w:r w:rsidRPr="001D332D">
        <w:rPr>
          <w:rFonts w:cstheme="minorHAnsi"/>
        </w:rPr>
        <w:t> şi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A33D69" w:rsidRDefault="00A33D69" w:rsidP="00A33D69">
      <w:pPr>
        <w:spacing w:after="0" w:line="360" w:lineRule="auto"/>
        <w:jc w:val="both"/>
        <w:rPr>
          <w:rFonts w:cstheme="minorHAnsi"/>
        </w:rPr>
      </w:pPr>
      <w:r w:rsidRPr="00A33D69">
        <w:rPr>
          <w:rFonts w:cstheme="minorHAnsi"/>
        </w:rPr>
        <w:lastRenderedPageBreak/>
        <w:t>Înţeleg că, în cazul în care această declaraţie nu este conformă cu realitatea, sunt pasibil de încălcarea prevederilor legislaţiei penale privind falsul în declaraţii.</w:t>
      </w:r>
    </w:p>
    <w:p w14:paraId="4A1BCD02" w14:textId="12422C05" w:rsidR="00A33D69" w:rsidRPr="008D0BAF" w:rsidRDefault="00A33D69" w:rsidP="00EF4E48">
      <w:pPr>
        <w:spacing w:after="0" w:line="360" w:lineRule="auto"/>
        <w:jc w:val="both"/>
        <w:rPr>
          <w:rFonts w:cstheme="minorHAnsi"/>
        </w:rPr>
      </w:pPr>
      <w:r w:rsidRPr="00A33D69">
        <w:rPr>
          <w:rFonts w:cstheme="minorHAnsi"/>
        </w:rPr>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324DCE30" w:rsidR="008C44F5" w:rsidRPr="00244233" w:rsidRDefault="006E0E71" w:rsidP="00CC3F60">
      <w:pPr>
        <w:pStyle w:val="Heading2"/>
      </w:pPr>
      <w:r w:rsidRPr="00244233">
        <w:lastRenderedPageBreak/>
        <w:t xml:space="preserve">Formular </w:t>
      </w:r>
      <w:r w:rsidR="00CC3F60">
        <w:t>5</w:t>
      </w:r>
    </w:p>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Pr="00D12E59" w:rsidRDefault="008C44F5" w:rsidP="00EF4E48">
      <w:pPr>
        <w:spacing w:after="0" w:line="360" w:lineRule="auto"/>
        <w:jc w:val="center"/>
        <w:rPr>
          <w:rFonts w:eastAsia="Calibri" w:cstheme="minorHAnsi"/>
          <w:sz w:val="24"/>
        </w:rPr>
      </w:pPr>
      <w:r w:rsidRPr="00D12E59">
        <w:rPr>
          <w:rFonts w:eastAsia="Calibri" w:cstheme="minorHAnsi"/>
          <w:b/>
          <w:bCs/>
          <w:sz w:val="24"/>
        </w:rPr>
        <w:t>OFERTANT A CLAUZELOR CONTRACTUALE</w:t>
      </w:r>
    </w:p>
    <w:bookmarkEnd w:id="1"/>
    <w:p w14:paraId="210BB9A8" w14:textId="5C50D2FE"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imputernicit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(denumirea procedurii competitive)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Default="00D96DB1" w:rsidP="00EF4E48">
      <w:pPr>
        <w:spacing w:after="0" w:line="360" w:lineRule="auto"/>
        <w:rPr>
          <w:rFonts w:cstheme="minorHAnsi"/>
          <w:sz w:val="24"/>
        </w:rPr>
      </w:pPr>
    </w:p>
    <w:p w14:paraId="0B1D4A44" w14:textId="77777777" w:rsidR="00CC3F60" w:rsidRDefault="00CC3F60" w:rsidP="00EF4E48">
      <w:pPr>
        <w:spacing w:after="0" w:line="360" w:lineRule="auto"/>
        <w:rPr>
          <w:rFonts w:cstheme="minorHAnsi"/>
          <w:sz w:val="24"/>
        </w:rPr>
      </w:pPr>
    </w:p>
    <w:p w14:paraId="6679346B" w14:textId="77777777" w:rsidR="00CC3F60" w:rsidRPr="00D12E59" w:rsidRDefault="00CC3F60" w:rsidP="00EF4E48">
      <w:pPr>
        <w:spacing w:after="0" w:line="360" w:lineRule="auto"/>
        <w:rPr>
          <w:rFonts w:cstheme="minorHAnsi"/>
          <w:sz w:val="24"/>
        </w:rPr>
      </w:pPr>
    </w:p>
    <w:p w14:paraId="0EB1424A" w14:textId="7C8BF118" w:rsidR="00D12E59" w:rsidRPr="00244233" w:rsidRDefault="00D12E59" w:rsidP="00CC3F60">
      <w:pPr>
        <w:pStyle w:val="Heading2"/>
        <w:rPr>
          <w:rFonts w:eastAsia="Calibri"/>
        </w:rPr>
      </w:pPr>
      <w:r w:rsidRPr="00244233">
        <w:rPr>
          <w:rFonts w:eastAsia="Calibri"/>
        </w:rPr>
        <w:lastRenderedPageBreak/>
        <w:t xml:space="preserve">Formular </w:t>
      </w:r>
      <w:r w:rsidR="00CC3F60">
        <w:rPr>
          <w:rFonts w:eastAsia="Calibri"/>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1FA5770B" w:rsidR="00D96DB1" w:rsidRPr="00D12E59" w:rsidRDefault="00D96DB1" w:rsidP="00EF4E48">
      <w:pPr>
        <w:spacing w:after="0" w:line="360" w:lineRule="auto"/>
        <w:jc w:val="center"/>
        <w:rPr>
          <w:rFonts w:cstheme="minorHAnsi"/>
          <w:b/>
          <w:bCs/>
          <w:sz w:val="24"/>
        </w:rPr>
      </w:pPr>
      <w:r w:rsidRPr="00D12E59">
        <w:rPr>
          <w:rFonts w:cstheme="minorHAnsi"/>
          <w:b/>
          <w:bCs/>
          <w:sz w:val="24"/>
        </w:rPr>
        <w:t>DECLARAȚIE PRIVIND TERMENUL DE GARANȚIE ACORDAT PRODUSELOR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7777777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7ACEAA61" w14:textId="77777777"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08AF41D7" w14:textId="77777777" w:rsidR="00EF4E48" w:rsidRDefault="00EF4E48"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4F6F6DAC" w:rsidR="00BA7040" w:rsidRPr="00244233" w:rsidRDefault="00BA7040" w:rsidP="00CC3F60">
      <w:pPr>
        <w:pStyle w:val="Heading2"/>
        <w:rPr>
          <w:rFonts w:eastAsia="Calibri"/>
        </w:rPr>
      </w:pPr>
      <w:r w:rsidRPr="00244233">
        <w:rPr>
          <w:rFonts w:eastAsia="Calibri"/>
        </w:rPr>
        <w:lastRenderedPageBreak/>
        <w:t xml:space="preserve">Formular </w:t>
      </w:r>
      <w:r w:rsidR="00CC3F60">
        <w:rPr>
          <w:rFonts w:eastAsia="Calibri"/>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3954AB85"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referitor la procedura de achiziţie</w:t>
      </w:r>
      <w:r w:rsidR="00005E46">
        <w:rPr>
          <w:b/>
          <w:bCs/>
        </w:rPr>
        <w:t xml:space="preserve"> </w:t>
      </w:r>
      <w:r w:rsidR="00005E46" w:rsidRPr="00005E46">
        <w:rPr>
          <w:b/>
          <w:bCs/>
        </w:rPr>
        <w:t>Dotarea cu echipamente digitale și accesorii a Centrului de cercetare și creare conținut media_Lot 1</w:t>
      </w:r>
      <w:r w:rsidR="001D332D" w:rsidRPr="001D332D">
        <w:rPr>
          <w:b/>
          <w:bCs/>
        </w:rPr>
        <w:t>, derulată de către Universitatea Româno-Americană în cadrul Contractului de finanţare nr. 14031/16.09.2022</w:t>
      </w:r>
      <w:r w:rsidRPr="007B0E80">
        <w:rPr>
          <w:b/>
          <w:bCs/>
        </w:rPr>
        <w:t>, sub sancţiunea falsului în declaraţii, aşa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privind Codul penal, cu modificările şi completările ulterioare, şi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din Legea nr. 78/2000 pentru prevenirea, descoperirea şi sancţionarea faptelor de corupţie, cu modificările şi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7B0E80">
          <w:rPr>
            <w:rStyle w:val="Hyperlink"/>
            <w:color w:val="auto"/>
          </w:rPr>
          <w:t>art. 17</w:t>
        </w:r>
      </w:hyperlink>
      <w:r w:rsidRPr="007B0E80">
        <w:t> din Regulamentul (UE) 2020/852 al Parlamentului European şi al Consiliului din 18 iunie 2020 privind instituirea unui cadru care să faciliteze investiţiile durabile şi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utilizarea durabilă şi protecţia resurselor de apă şi a celor marine;</w:t>
      </w:r>
    </w:p>
    <w:p w14:paraId="473ABA4E" w14:textId="77777777" w:rsidR="007B0E80" w:rsidRPr="007B0E80" w:rsidRDefault="007B0E80" w:rsidP="007B0E80">
      <w:pPr>
        <w:spacing w:after="0" w:line="360" w:lineRule="auto"/>
        <w:jc w:val="both"/>
      </w:pPr>
      <w:r w:rsidRPr="007B0E80">
        <w:rPr>
          <w:b/>
          <w:bCs/>
        </w:rPr>
        <w:t>d)</w:t>
      </w:r>
      <w:r w:rsidRPr="007B0E80">
        <w:t> tranziţia către o economie circulară;</w:t>
      </w:r>
    </w:p>
    <w:p w14:paraId="330A1462" w14:textId="77777777" w:rsidR="007B0E80" w:rsidRPr="007B0E80" w:rsidRDefault="007B0E80" w:rsidP="007B0E80">
      <w:pPr>
        <w:spacing w:after="0" w:line="360" w:lineRule="auto"/>
        <w:jc w:val="both"/>
      </w:pPr>
      <w:r w:rsidRPr="007B0E80">
        <w:rPr>
          <w:b/>
          <w:bCs/>
        </w:rPr>
        <w:t>e)</w:t>
      </w:r>
      <w:r w:rsidRPr="007B0E80">
        <w:t> prevenirea şi controlul poluării;</w:t>
      </w:r>
    </w:p>
    <w:p w14:paraId="24BCC979" w14:textId="77777777" w:rsidR="007B0E80" w:rsidRPr="007B0E80" w:rsidRDefault="007B0E80" w:rsidP="007B0E80">
      <w:pPr>
        <w:spacing w:after="0" w:line="360" w:lineRule="auto"/>
        <w:jc w:val="both"/>
      </w:pPr>
      <w:r w:rsidRPr="007B0E80">
        <w:rPr>
          <w:b/>
          <w:bCs/>
        </w:rPr>
        <w:t>f)</w:t>
      </w:r>
      <w:r w:rsidRPr="007B0E80">
        <w:t> protecţia şi refacerea biodiversităţii şi a ecosistemelor.</w:t>
      </w:r>
    </w:p>
    <w:p w14:paraId="7989E093" w14:textId="77777777" w:rsidR="007B0E80" w:rsidRPr="007B0E80" w:rsidRDefault="007B0E80" w:rsidP="007B0E80">
      <w:pPr>
        <w:spacing w:after="0" w:line="360" w:lineRule="auto"/>
        <w:jc w:val="both"/>
      </w:pPr>
      <w:r w:rsidRPr="007B0E80">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7B0E80" w:rsidRDefault="007B0E80" w:rsidP="007B0E80">
      <w:pPr>
        <w:spacing w:after="0" w:line="360" w:lineRule="auto"/>
        <w:jc w:val="both"/>
      </w:pPr>
      <w:r w:rsidRPr="007B0E80">
        <w:lastRenderedPageBreak/>
        <w:t>Înţeleg că, în cazul în care această declaraţie nu este conformă cu realitatea, sunt pasibil de încălcarea prevederilor legislaţiei penale privind falsul în declaraţii.</w:t>
      </w:r>
    </w:p>
    <w:p w14:paraId="7F1A5137" w14:textId="0348B18E" w:rsidR="007B0E80" w:rsidRPr="007B0E80" w:rsidRDefault="007B0E80" w:rsidP="007B0E80">
      <w:pPr>
        <w:spacing w:after="0" w:line="360" w:lineRule="auto"/>
        <w:jc w:val="both"/>
      </w:pPr>
      <w:r w:rsidRPr="007B0E80">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2991CE6B" w14:textId="77777777" w:rsidR="00CC3F60" w:rsidRDefault="00CC3F60" w:rsidP="00CC3F60">
      <w:pPr>
        <w:rPr>
          <w:lang w:val="it-IT"/>
        </w:rPr>
      </w:pPr>
    </w:p>
    <w:p w14:paraId="38CB9AE7" w14:textId="77777777" w:rsidR="00CC3F60" w:rsidRDefault="00CC3F60" w:rsidP="00CC3F60">
      <w:pPr>
        <w:rPr>
          <w:lang w:val="it-IT"/>
        </w:rPr>
      </w:pPr>
    </w:p>
    <w:p w14:paraId="55E7E5EA" w14:textId="77777777" w:rsidR="00CC3F60" w:rsidRDefault="00CC3F60" w:rsidP="00CC3F60">
      <w:pPr>
        <w:rPr>
          <w:lang w:val="it-IT"/>
        </w:rPr>
      </w:pPr>
    </w:p>
    <w:p w14:paraId="0096292F" w14:textId="415CAD6D"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t xml:space="preserve">Formular </w:t>
      </w:r>
      <w:r w:rsidR="00CC3F60">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lastRenderedPageBreak/>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77777777"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77777777" w:rsidR="00114348" w:rsidRPr="00114348" w:rsidRDefault="00114348" w:rsidP="00EF4E48">
      <w:pPr>
        <w:spacing w:after="0" w:line="360" w:lineRule="auto"/>
        <w:jc w:val="both"/>
        <w:rPr>
          <w:rFonts w:cstheme="minorHAnsi"/>
        </w:rPr>
      </w:pPr>
      <w:r w:rsidRPr="00114348">
        <w:rPr>
          <w:rFonts w:cstheme="minorHAnsi"/>
        </w:rPr>
        <w:t>2. Ne angajăm ca, în cazul în care oferta noastră este stabilita câștigătoare, să furnizăm și să livrăm dotările/ echipamentele 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46AD1032"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echipamentele</w:t>
      </w:r>
      <w:r w:rsidR="00005E46">
        <w:rPr>
          <w:rFonts w:cstheme="minorHAnsi"/>
        </w:rPr>
        <w:t xml:space="preserve"> și accesoriile</w:t>
      </w:r>
      <w:r w:rsidRPr="00114348">
        <w:rPr>
          <w:rFonts w:cstheme="minorHAnsi"/>
        </w:rPr>
        <w:t xml:space="preserv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225E8215"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1C92C6D1" w:rsidR="00EA32E5" w:rsidRPr="00EA32E5" w:rsidRDefault="00BA7040" w:rsidP="00CC3F60">
      <w:pPr>
        <w:pStyle w:val="Heading2"/>
      </w:pPr>
      <w:r w:rsidRPr="00BA7040">
        <w:t xml:space="preserve">Formular </w:t>
      </w:r>
      <w:r w:rsidR="00CC3F60">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EA32E5">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EA32E5"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566B8C" w:rsidRPr="00EA32E5"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726C55" w14:textId="2C9A11A1" w:rsidR="00566B8C" w:rsidRPr="00894776" w:rsidRDefault="00152183" w:rsidP="00EF4E48">
            <w:pPr>
              <w:spacing w:after="0" w:line="360" w:lineRule="auto"/>
              <w:rPr>
                <w:rFonts w:eastAsia="Calibri" w:cstheme="minorHAnsi"/>
                <w:b/>
                <w:sz w:val="18"/>
                <w:szCs w:val="18"/>
              </w:rPr>
            </w:pPr>
            <w:r w:rsidRPr="00152183">
              <w:rPr>
                <w:rFonts w:eastAsia="Calibri" w:cstheme="minorHAnsi"/>
                <w:b/>
                <w:sz w:val="18"/>
                <w:szCs w:val="18"/>
              </w:rPr>
              <w:t>Camera video, full-hd , Conectori intrare: 2 x 3-Pin XLR Mic/Line Level (+48 V Phantom Power), 1 x 1 x 1/8" / 3.5 mm Stereo Input, 1 x 2.5 mm LANC Control Input; 1 x Barrel (8.4 VDC) Input; Diagonala Display: 3"; Sistem: PAL; Alimentare: Acumulator; Conectori iesire: 1 x 1/8" (3.5 mm) TRRS A/V (Composite) Output, 1 x Mini-HDMI Output, 1 x USB Mini-B Output sau echivalent;Microfon incorporat:Da, stereo; Dimensiune Senzor: 1/3"; Stabilizare imagine: Optica si digitala; Blit sau lumina integrata: Da, infrared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775CEB2D" w:rsidR="00566B8C" w:rsidRDefault="00DB71A9"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Default="00566B8C"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32B736B3" w:rsidR="00566B8C" w:rsidRDefault="00C67E19" w:rsidP="00EF4E48">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566B8C">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1AC32455"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470882" w14:textId="0A3E58A8" w:rsidR="000D2DB2" w:rsidRDefault="000D2DB2"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2</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1E27A2" w14:textId="58F317DB" w:rsidR="000D2DB2" w:rsidRPr="00894776" w:rsidRDefault="00227D23" w:rsidP="005D2694">
            <w:pPr>
              <w:spacing w:after="0" w:line="360" w:lineRule="auto"/>
              <w:jc w:val="both"/>
              <w:rPr>
                <w:rFonts w:eastAsia="Calibri" w:cstheme="minorHAnsi"/>
                <w:b/>
                <w:sz w:val="18"/>
                <w:szCs w:val="18"/>
              </w:rPr>
            </w:pPr>
            <w:r w:rsidRPr="00227D23">
              <w:rPr>
                <w:rFonts w:eastAsia="Calibri" w:cstheme="minorHAnsi"/>
                <w:b/>
                <w:sz w:val="18"/>
                <w:szCs w:val="18"/>
              </w:rPr>
              <w:t xml:space="preserve">Switcher de productie live: Total intrări video - 8; Total ieșiri - 4; Total ieșiri auxiliare - 2; Total intrări audio - 2 x mini jack stereo de 3,5 mm; Total ieșiri audio - 1 x mini jack stereo de 3,5 mm; Conexiune timecode - Niciuna; Intrări video HDMI - 8 x HDMI de tip A, comutabil HD pe 10 biți; 2 canale audio încorporate; Re-sincronizare intrare video - Pe toate cele 8 intrări </w:t>
            </w:r>
            <w:r w:rsidRPr="00227D23">
              <w:rPr>
                <w:rFonts w:eastAsia="Calibri" w:cstheme="minorHAnsi"/>
                <w:b/>
                <w:sz w:val="18"/>
                <w:szCs w:val="18"/>
              </w:rPr>
              <w:lastRenderedPageBreak/>
              <w:t>HDMI; Convertoare de frecvență de cadre și de format - Pe toate cele 8 intrări HDMI; Ieșiri de program HDMI - 2; Ethernet: Ethernet suportă 10/100/1000 BaseT pentru streaming live, control software, actualizări software și conectare directă sau la panoul de rețea; Interfață pentru computer: 2 x USB Type-C 3.1 Gen 1 pentru înregistrare pe unitate externă, ieșire webcam, control software, actualizări software și conexiune la panou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E36BD6" w14:textId="42B70D4A" w:rsidR="000D2DB2" w:rsidRDefault="00DB71A9"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CBF7D" w14:textId="183DFE22"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3B1AF0" w14:textId="3FE37BDF" w:rsidR="000D2DB2" w:rsidRDefault="00C67E19" w:rsidP="000D2DB2">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0D2DB2">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85650A"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53823A93"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460E02AD"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289888E"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1488409"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5FDF595"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1E55CB5E"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E578BB" w14:textId="14DBD058" w:rsidR="000D2DB2" w:rsidRDefault="000D2DB2"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3</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5A015" w14:textId="2855C660" w:rsidR="000D2DB2" w:rsidRPr="00894776" w:rsidRDefault="00DB7B1E" w:rsidP="005D2694">
            <w:pPr>
              <w:spacing w:after="0" w:line="360" w:lineRule="auto"/>
              <w:jc w:val="both"/>
              <w:rPr>
                <w:rFonts w:eastAsia="Calibri" w:cstheme="minorHAnsi"/>
                <w:b/>
                <w:sz w:val="18"/>
                <w:szCs w:val="18"/>
              </w:rPr>
            </w:pPr>
            <w:r w:rsidRPr="00DB7B1E">
              <w:rPr>
                <w:rFonts w:eastAsia="Calibri" w:cstheme="minorHAnsi"/>
                <w:b/>
                <w:sz w:val="18"/>
                <w:szCs w:val="18"/>
              </w:rPr>
              <w:t>Lavalieră Wireless UHF cu Microfon Lavaliera (TX+RX) Componenta:Kit, Numar transmitatoare:1, Microfon incorporat, Tip microfon:Lavaliera omni, Conector transmitator: 3.5mm, Conector casti: Da, Tip receptor: Portabil, Patina dedicata: Da, Banda comunicare:UHF, Alimentare:R6, Tip transmitator: Body pack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EB331A" w14:textId="0385B81D" w:rsidR="000D2DB2" w:rsidRDefault="00DB71A9"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142E74" w14:textId="1274E47A"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471951" w14:textId="326D1465" w:rsidR="000D2DB2" w:rsidRDefault="00C67E19" w:rsidP="000D2DB2">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0D2DB2">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77A317F5"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46DB028C"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5AFD881A"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4B5B4614"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79C580B"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3EA4B41"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0D2DB2" w:rsidRPr="00EA32E5" w14:paraId="71E57A32"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BE526" w14:textId="4FD472FF" w:rsidR="000D2DB2" w:rsidRDefault="000D2DB2" w:rsidP="000D2DB2">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4</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E2A113" w14:textId="3DA1B550" w:rsidR="000D2DB2" w:rsidRPr="00894776" w:rsidRDefault="00A412FB" w:rsidP="000D2DB2">
            <w:pPr>
              <w:spacing w:after="0" w:line="360" w:lineRule="auto"/>
              <w:rPr>
                <w:rFonts w:eastAsia="Calibri" w:cstheme="minorHAnsi"/>
                <w:b/>
                <w:sz w:val="18"/>
                <w:szCs w:val="18"/>
              </w:rPr>
            </w:pPr>
            <w:r w:rsidRPr="00A412FB">
              <w:rPr>
                <w:rFonts w:eastAsia="Calibri" w:cstheme="minorHAnsi"/>
                <w:b/>
                <w:sz w:val="18"/>
                <w:szCs w:val="18"/>
              </w:rPr>
              <w:t>Microfon dinamic pentru voce, conector XLR, Alimentare: plug-in, conectare pe fir, Captare:  Hipercardioid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E4A0735" w14:textId="3BF4D70D" w:rsidR="000D2DB2" w:rsidRDefault="00DB71A9"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034F2A" w14:textId="7CED6B9D" w:rsidR="000D2DB2" w:rsidRDefault="000D2DB2" w:rsidP="000D2DB2">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00C464" w14:textId="024D8D1E" w:rsidR="000D2DB2" w:rsidRDefault="00C67E19" w:rsidP="000D2DB2">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0D2DB2">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B7B0AC4"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A58E442"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6F3996E8"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F5F47CF"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55277AF"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7C66A36" w14:textId="77777777" w:rsidR="000D2DB2" w:rsidRPr="00EA32E5" w:rsidRDefault="000D2DB2" w:rsidP="000D2DB2">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67E19" w:rsidRPr="00EA32E5" w14:paraId="7C0E76B5"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C5DC9" w14:textId="563DD657" w:rsidR="00C67E19" w:rsidRDefault="00C67E19" w:rsidP="00C67E19">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5</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36C1A3" w14:textId="501464B1" w:rsidR="00C67E19" w:rsidRPr="000D2DB2" w:rsidRDefault="00C67E19" w:rsidP="00C67E19">
            <w:pPr>
              <w:spacing w:after="0" w:line="360" w:lineRule="auto"/>
              <w:jc w:val="both"/>
              <w:rPr>
                <w:rFonts w:eastAsia="Calibri" w:cstheme="minorHAnsi"/>
                <w:b/>
                <w:sz w:val="18"/>
                <w:szCs w:val="18"/>
              </w:rPr>
            </w:pPr>
            <w:r w:rsidRPr="008E4572">
              <w:rPr>
                <w:rFonts w:eastAsia="Calibri" w:cstheme="minorHAnsi"/>
                <w:b/>
                <w:sz w:val="18"/>
                <w:szCs w:val="18"/>
              </w:rPr>
              <w:t>Camera video de actiune Diagonala (inch): 2.27; Suport inregistrare: microSD; Memorie interna: Nu; Conectivitate: Wi-Fi, Bluetooth, GPS; Afisaj / Panou comanda: Touch Screen, LCD, Status Light;  Tip senzor CMOS; Procesor de imagine: GP 2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AF46FA" w14:textId="3AEACF23"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42F0F0" w14:textId="099D3889"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21F470" w14:textId="6C10D917" w:rsidR="00C67E19"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61AB50F1"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44D08E4"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1A5AD66B"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9E07434"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22D6C49C"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44166B8"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67E19" w:rsidRPr="00EA32E5" w14:paraId="3308E4FB"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CAFF70" w14:textId="1D54BE38" w:rsidR="00C67E19" w:rsidRDefault="00C67E19" w:rsidP="00C67E19">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6</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62CCE" w14:textId="4B0675B3" w:rsidR="00C67E19" w:rsidRPr="000D2DB2" w:rsidRDefault="00C67E19" w:rsidP="00C67E19">
            <w:pPr>
              <w:spacing w:after="0" w:line="360" w:lineRule="auto"/>
              <w:jc w:val="both"/>
              <w:rPr>
                <w:rFonts w:eastAsia="Calibri" w:cstheme="minorHAnsi"/>
                <w:b/>
                <w:sz w:val="18"/>
                <w:szCs w:val="18"/>
              </w:rPr>
            </w:pPr>
            <w:r w:rsidRPr="00805775">
              <w:rPr>
                <w:rFonts w:eastAsia="Calibri" w:cstheme="minorHAnsi"/>
                <w:b/>
                <w:sz w:val="18"/>
                <w:szCs w:val="18"/>
              </w:rPr>
              <w:t xml:space="preserve">Sistem audio fără baterie: Raza de acțiune wireless: Până la 9 m; Răspuns în frecvență (-3 dB) </w:t>
            </w:r>
            <w:r w:rsidRPr="00805775">
              <w:rPr>
                <w:rFonts w:eastAsia="Calibri" w:cstheme="minorHAnsi"/>
                <w:b/>
                <w:sz w:val="18"/>
                <w:szCs w:val="18"/>
              </w:rPr>
              <w:tab/>
              <w:t xml:space="preserve">(+/- 3 dB) 70 Hz – 16 kHz; Articole în cutie: Sistemul S1 Pro; Husă de transport; Cablu alimentare AC; Dispersie nominală: 100° orizontal x 40° vertical; Nivel de presiune </w:t>
            </w:r>
            <w:r w:rsidRPr="00805775">
              <w:rPr>
                <w:rFonts w:eastAsia="Calibri" w:cstheme="minorHAnsi"/>
                <w:b/>
                <w:sz w:val="18"/>
                <w:szCs w:val="18"/>
              </w:rPr>
              <w:lastRenderedPageBreak/>
              <w:t>sonoră (SPL) maxim @ 1m 103 dB (109 dB maxim); Conectivitate: 2 intrări ¼ - XLR; Intrare 3.5 mm; Intrare Bluetooth; Intrare TRS de linie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E18865" w14:textId="5D193B25"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lastRenderedPageBreak/>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A4EF3" w14:textId="28287474"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F3AC52" w14:textId="72BE21DB" w:rsidR="00C67E19"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C26C325"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61937EF"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7083AF54"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6EA0BC0"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BD17D52"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0EC191F4"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67E19" w:rsidRPr="00EA32E5" w14:paraId="5C5972F7"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2EAF3" w14:textId="5712326C" w:rsidR="00C67E19" w:rsidRDefault="00C67E19" w:rsidP="00C67E19">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7</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C2B98" w14:textId="65FAC2F8" w:rsidR="00C67E19" w:rsidRPr="000D2DB2" w:rsidRDefault="00C67E19" w:rsidP="00C67E19">
            <w:pPr>
              <w:spacing w:after="0" w:line="360" w:lineRule="auto"/>
              <w:jc w:val="both"/>
              <w:rPr>
                <w:rFonts w:eastAsia="Calibri" w:cstheme="minorHAnsi"/>
                <w:b/>
                <w:sz w:val="18"/>
                <w:szCs w:val="18"/>
              </w:rPr>
            </w:pPr>
            <w:r w:rsidRPr="0067292F">
              <w:rPr>
                <w:rFonts w:eastAsia="Calibri" w:cstheme="minorHAnsi"/>
                <w:b/>
                <w:sz w:val="18"/>
                <w:szCs w:val="18"/>
              </w:rPr>
              <w:t>Brat Flexibil Microfon. Brațul oferă o rază orizontală de 820 mm, o întindere verticală de 840 mm și o rotație completă de 360 ° și poate suporta majoritatea microfoanelor cu o greutate cuprinsă între 700 g și 1,1 kgsau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12C5B" w14:textId="2BFED495"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8F5322" w14:textId="0244CF33"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752269" w14:textId="6DD99FB1" w:rsidR="00C67E19"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1CB5CE91"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5C261E7"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0D328A80"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66F81116"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5B468DC"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0527A108"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67E19" w:rsidRPr="00EA32E5" w14:paraId="0671237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552BE3" w14:textId="70254F65" w:rsidR="00C67E19" w:rsidRDefault="00C67E19" w:rsidP="00C67E19">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8</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814EEC" w14:textId="328DA239" w:rsidR="00C67E19" w:rsidRPr="000D2DB2" w:rsidRDefault="00C67E19" w:rsidP="00C67E19">
            <w:pPr>
              <w:spacing w:after="0" w:line="360" w:lineRule="auto"/>
              <w:rPr>
                <w:rFonts w:eastAsia="Calibri" w:cstheme="minorHAnsi"/>
                <w:b/>
                <w:sz w:val="18"/>
                <w:szCs w:val="18"/>
              </w:rPr>
            </w:pPr>
            <w:r w:rsidRPr="00462A1C">
              <w:rPr>
                <w:rFonts w:eastAsia="Calibri" w:cstheme="minorHAnsi"/>
                <w:b/>
                <w:sz w:val="18"/>
                <w:szCs w:val="18"/>
              </w:rPr>
              <w:t>Suport Shockmount pentru Microfon de Studio cu Pop Filter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D9B0F" w14:textId="6A2E1F4F"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F27ACC" w14:textId="1E50BF4E"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5DB09C" w14:textId="0817C46A" w:rsidR="00C67E19"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A4D3BF9"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70027720"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9A10541"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153678E"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7B87D5E"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BAE3D44"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C67E19" w:rsidRPr="00EA32E5" w14:paraId="70F731C9"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34E075" w14:textId="6263C0B0" w:rsidR="00C67E19" w:rsidRDefault="00C67E19" w:rsidP="00C67E19">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9</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3A832" w14:textId="7D7BFD2D" w:rsidR="00C67E19" w:rsidRPr="000D2DB2" w:rsidRDefault="00C67E19" w:rsidP="00C67E19">
            <w:pPr>
              <w:spacing w:after="0" w:line="360" w:lineRule="auto"/>
              <w:jc w:val="both"/>
              <w:rPr>
                <w:rFonts w:eastAsia="Calibri" w:cstheme="minorHAnsi"/>
                <w:b/>
                <w:sz w:val="18"/>
                <w:szCs w:val="18"/>
              </w:rPr>
            </w:pPr>
            <w:r w:rsidRPr="005D2694">
              <w:rPr>
                <w:rFonts w:eastAsia="Calibri" w:cstheme="minorHAnsi"/>
                <w:b/>
                <w:sz w:val="18"/>
                <w:szCs w:val="18"/>
              </w:rPr>
              <w:t>Kit trepied video Mirrorless: Greutate proprie: 900 g; Inaltime cap: 10.5 cm;Material: Aluminium; Greutate sustinuta: 5 kg; Greutate contrabalans: 2.4 kg; Tilt:  fluid; Pan: fluid; Placuta rapida tip: 500PLONG; Ball: Flat; Centru de greutate: 55 mm; Front Tilt-70° / +90°; Bula de nivel: 1; Top Attachment: 1/4″ surub, 3/8″; surub Diametru baza: 60 mm; Pan Bar: 1 bucata, incluă; Rotatie Panoramica: 360;</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A848C6" w14:textId="067408F9"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FCC021" w14:textId="2B0674FF" w:rsidR="00C67E19" w:rsidRDefault="00C67E19" w:rsidP="00C67E19">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63708E" w14:textId="3F8EA852" w:rsidR="00C67E19"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CE1C4C3"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C464A20"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5F968CEF"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DA98877"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BE4F653"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79CAB7B9" w14:textId="77777777" w:rsidR="00C67E19" w:rsidRPr="00EA32E5" w:rsidRDefault="00C67E19" w:rsidP="00C67E19">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3E0E26"/>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leGrid"/>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7307" w:type="dxa"/>
          </w:tcPr>
          <w:p w14:paraId="1256EC36"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13CE3099" w14:textId="77777777" w:rsidTr="005A51FF">
        <w:trPr>
          <w:trHeight w:val="943"/>
        </w:trPr>
        <w:tc>
          <w:tcPr>
            <w:tcW w:w="7327" w:type="dxa"/>
          </w:tcPr>
          <w:p w14:paraId="2CF6A402" w14:textId="6D79A43E" w:rsidR="00EA32E5" w:rsidRPr="000933B2" w:rsidRDefault="00EA32E5" w:rsidP="00EF4E48">
            <w:pPr>
              <w:spacing w:line="360" w:lineRule="auto"/>
              <w:rPr>
                <w:rFonts w:cstheme="minorHAnsi"/>
                <w:lang w:val="it-IT"/>
              </w:rPr>
            </w:pPr>
            <w:r w:rsidRPr="00244233">
              <w:rPr>
                <w:rFonts w:cstheme="minorHAnsi"/>
                <w:lang w:val="it-IT"/>
              </w:rPr>
              <w:lastRenderedPageBreak/>
              <w:t xml:space="preserve">Livrarea se va realiza la Sediul Beneficiarului – Universitatea Româno-Americană, Bd. </w:t>
            </w:r>
            <w:r w:rsidRPr="000933B2">
              <w:rPr>
                <w:rFonts w:cstheme="minorHAnsi"/>
                <w:lang w:val="it-IT"/>
              </w:rPr>
              <w:t>Expoziției nr. 1B, București 012101</w:t>
            </w:r>
            <w:r w:rsidR="000933B2" w:rsidRPr="000933B2">
              <w:rPr>
                <w:rFonts w:cstheme="minorHAnsi"/>
                <w:lang w:val="it-IT"/>
              </w:rPr>
              <w:t xml:space="preserve">. Termenul de livrare este de </w:t>
            </w:r>
            <w:r w:rsidR="00C67E19">
              <w:rPr>
                <w:rFonts w:cstheme="minorHAnsi"/>
                <w:lang w:val="it-IT"/>
              </w:rPr>
              <w:t>30</w:t>
            </w:r>
            <w:r w:rsidR="000933B2" w:rsidRPr="000933B2">
              <w:rPr>
                <w:rFonts w:cstheme="minorHAnsi"/>
                <w:lang w:val="it-IT"/>
              </w:rPr>
              <w:t xml:space="preserve"> z</w:t>
            </w:r>
            <w:r w:rsidR="000933B2">
              <w:rPr>
                <w:rFonts w:cstheme="minorHAnsi"/>
                <w:lang w:val="it-IT"/>
              </w:rPr>
              <w:t>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00994A67" w14:textId="77777777" w:rsidTr="005A51FF">
        <w:tc>
          <w:tcPr>
            <w:tcW w:w="7366" w:type="dxa"/>
          </w:tcPr>
          <w:p w14:paraId="64EE5353" w14:textId="77777777"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77777777"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t xml:space="preserve">Toate produsele trebuie să nu fie declarate End-Of-Life de către Producător la data depunerii Ofertei. </w:t>
            </w:r>
            <w:r w:rsidRPr="00EA32E5">
              <w:rPr>
                <w:rFonts w:cstheme="minorHAnsi"/>
              </w:rPr>
              <w:t>În situația în care Ofertantul face dovada că produsele solicitate sunt declarate End-Of-Life de către Producător sunt acceptate exclusiv produse care sunt superioare cerințelor / specificațiilor minimale și obligatorii indicate;</w:t>
            </w:r>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13C80A4B" w14:textId="77777777" w:rsidR="00EA32E5" w:rsidRDefault="00EA32E5" w:rsidP="00EF4E48">
      <w:pPr>
        <w:spacing w:after="0" w:line="360" w:lineRule="auto"/>
        <w:rPr>
          <w:rFonts w:cstheme="minorHAnsi"/>
          <w:kern w:val="0"/>
        </w:rPr>
      </w:pPr>
    </w:p>
    <w:p w14:paraId="36DCDF13" w14:textId="77777777" w:rsidR="00572508" w:rsidRDefault="00572508" w:rsidP="00EF4E48">
      <w:pPr>
        <w:spacing w:after="0" w:line="360" w:lineRule="auto"/>
        <w:rPr>
          <w:rFonts w:cstheme="minorHAnsi"/>
          <w:kern w:val="0"/>
        </w:rPr>
      </w:pPr>
    </w:p>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p w14:paraId="4A4F5A47" w14:textId="77777777" w:rsidR="00CE349B" w:rsidRDefault="00CE349B" w:rsidP="00EF4E48">
      <w:pPr>
        <w:spacing w:after="0" w:line="360" w:lineRule="auto"/>
        <w:rPr>
          <w:rFonts w:cstheme="minorHAnsi"/>
          <w:kern w:val="0"/>
        </w:rPr>
      </w:pPr>
    </w:p>
    <w:tbl>
      <w:tblPr>
        <w:tblStyle w:val="TableGrid"/>
        <w:tblW w:w="13284" w:type="dxa"/>
        <w:jc w:val="center"/>
        <w:shd w:val="clear" w:color="auto" w:fill="FFFFFF" w:themeFill="background1"/>
        <w:tblLook w:val="04A0" w:firstRow="1" w:lastRow="0" w:firstColumn="1" w:lastColumn="0" w:noHBand="0" w:noVBand="1"/>
      </w:tblPr>
      <w:tblGrid>
        <w:gridCol w:w="4149"/>
        <w:gridCol w:w="4251"/>
        <w:gridCol w:w="4884"/>
      </w:tblGrid>
      <w:tr w:rsidR="00CE349B" w:rsidRPr="00CE349B" w14:paraId="6BA5E929" w14:textId="0F96BD18" w:rsidTr="00CE349B">
        <w:trPr>
          <w:jc w:val="center"/>
        </w:trPr>
        <w:tc>
          <w:tcPr>
            <w:tcW w:w="8400" w:type="dxa"/>
            <w:gridSpan w:val="2"/>
            <w:shd w:val="clear" w:color="auto" w:fill="FFFFFF" w:themeFill="background1"/>
          </w:tcPr>
          <w:p w14:paraId="7B72514D" w14:textId="77777777" w:rsidR="00CE349B" w:rsidRPr="00CE349B" w:rsidRDefault="00CE349B" w:rsidP="00CE349B">
            <w:pPr>
              <w:spacing w:after="160" w:line="276" w:lineRule="auto"/>
              <w:jc w:val="center"/>
              <w:rPr>
                <w:rFonts w:cstheme="minorHAnsi"/>
                <w:b/>
                <w:noProof/>
              </w:rPr>
            </w:pPr>
            <w:r w:rsidRPr="00CE349B">
              <w:rPr>
                <w:rFonts w:cstheme="minorHAnsi"/>
                <w:b/>
                <w:noProof/>
              </w:rPr>
              <w:t>Prelungirea duratei de viață a produsului</w:t>
            </w:r>
          </w:p>
        </w:tc>
        <w:tc>
          <w:tcPr>
            <w:tcW w:w="4884" w:type="dxa"/>
            <w:shd w:val="clear" w:color="auto" w:fill="FFFFFF" w:themeFill="background1"/>
          </w:tcPr>
          <w:p w14:paraId="24E0EB9B" w14:textId="77777777" w:rsidR="00CE349B" w:rsidRPr="00CE349B" w:rsidRDefault="00CE349B" w:rsidP="00CE349B">
            <w:pPr>
              <w:spacing w:line="276" w:lineRule="auto"/>
              <w:jc w:val="center"/>
              <w:rPr>
                <w:rFonts w:cstheme="minorHAnsi"/>
                <w:b/>
                <w:noProof/>
              </w:rPr>
            </w:pPr>
          </w:p>
        </w:tc>
      </w:tr>
      <w:tr w:rsidR="00CE349B" w:rsidRPr="00CE349B" w14:paraId="6E588E0E" w14:textId="63BB6163" w:rsidTr="00CE349B">
        <w:trPr>
          <w:jc w:val="center"/>
        </w:trPr>
        <w:tc>
          <w:tcPr>
            <w:tcW w:w="4149" w:type="dxa"/>
            <w:shd w:val="clear" w:color="auto" w:fill="FFFFFF" w:themeFill="background1"/>
          </w:tcPr>
          <w:p w14:paraId="56EEC334" w14:textId="77777777" w:rsidR="00CE349B" w:rsidRPr="00CE349B" w:rsidRDefault="00CE349B" w:rsidP="00CE349B">
            <w:pPr>
              <w:spacing w:after="160" w:line="276" w:lineRule="auto"/>
              <w:jc w:val="both"/>
              <w:rPr>
                <w:rFonts w:cstheme="minorHAnsi"/>
                <w:b/>
                <w:noProof/>
              </w:rPr>
            </w:pPr>
            <w:r w:rsidRPr="00CE349B">
              <w:rPr>
                <w:rFonts w:cstheme="minorHAnsi"/>
                <w:b/>
                <w:noProof/>
              </w:rPr>
              <w:t>Garantie</w:t>
            </w:r>
          </w:p>
          <w:p w14:paraId="20C37EBB" w14:textId="77777777" w:rsidR="00CE349B" w:rsidRPr="00CE349B" w:rsidRDefault="00CE349B" w:rsidP="00CE349B">
            <w:pPr>
              <w:spacing w:after="160" w:line="276" w:lineRule="auto"/>
              <w:jc w:val="both"/>
              <w:rPr>
                <w:rFonts w:cstheme="minorHAnsi"/>
                <w:b/>
                <w:noProof/>
              </w:rPr>
            </w:pPr>
          </w:p>
          <w:p w14:paraId="06E18170" w14:textId="77777777" w:rsidR="00CE349B" w:rsidRPr="00CE349B" w:rsidRDefault="00CE349B" w:rsidP="00CE349B">
            <w:pPr>
              <w:spacing w:after="160" w:line="276" w:lineRule="auto"/>
              <w:jc w:val="both"/>
              <w:rPr>
                <w:rFonts w:cstheme="minorHAnsi"/>
                <w:noProof/>
              </w:rPr>
            </w:pPr>
            <w:r w:rsidRPr="00CE349B">
              <w:rPr>
                <w:rFonts w:cstheme="minorHAnsi"/>
                <w:noProof/>
              </w:rPr>
              <w:t>Perioada de garanție va fi de minimum 2 ani cu efect de la data de acceptării de către Beneficiar a livrării conforme a produsului.</w:t>
            </w:r>
          </w:p>
          <w:p w14:paraId="142F4D54" w14:textId="77777777" w:rsidR="00CE349B" w:rsidRPr="00CE349B" w:rsidRDefault="00CE349B" w:rsidP="00CE349B">
            <w:pPr>
              <w:spacing w:after="160" w:line="276" w:lineRule="auto"/>
              <w:jc w:val="both"/>
              <w:rPr>
                <w:rFonts w:cstheme="minorHAnsi"/>
                <w:noProof/>
              </w:rPr>
            </w:pPr>
          </w:p>
          <w:p w14:paraId="75B6465C" w14:textId="77777777" w:rsidR="00CE349B" w:rsidRPr="00CE349B" w:rsidRDefault="00CE349B" w:rsidP="00CE349B">
            <w:pPr>
              <w:spacing w:after="160" w:line="276" w:lineRule="auto"/>
              <w:jc w:val="both"/>
              <w:rPr>
                <w:rFonts w:cstheme="minorHAnsi"/>
                <w:noProof/>
              </w:rPr>
            </w:pPr>
            <w:r w:rsidRPr="00CE349B">
              <w:rPr>
                <w:rFonts w:cstheme="minorHAnsi"/>
                <w:noProof/>
              </w:rPr>
              <w:t xml:space="preserve">Garanția trebuie să acopere reparațiile sau înlocuirile, inclusiv ridicarea și returnarea sau reparații la fața locului. </w:t>
            </w:r>
          </w:p>
          <w:p w14:paraId="6CB63620" w14:textId="77777777" w:rsidR="00CE349B" w:rsidRPr="00CE349B" w:rsidRDefault="00CE349B" w:rsidP="00CE349B">
            <w:pPr>
              <w:spacing w:after="160" w:line="276" w:lineRule="auto"/>
              <w:jc w:val="both"/>
              <w:rPr>
                <w:rFonts w:cstheme="minorHAnsi"/>
                <w:noProof/>
              </w:rPr>
            </w:pPr>
          </w:p>
          <w:p w14:paraId="25474976" w14:textId="77777777" w:rsidR="00CE349B" w:rsidRPr="00CE349B" w:rsidRDefault="00CE349B" w:rsidP="00CE349B">
            <w:pPr>
              <w:spacing w:after="160" w:line="276" w:lineRule="auto"/>
              <w:jc w:val="both"/>
              <w:rPr>
                <w:rFonts w:cstheme="minorHAnsi"/>
                <w:noProof/>
              </w:rPr>
            </w:pPr>
            <w:r w:rsidRPr="00CE349B">
              <w:rPr>
                <w:rFonts w:cstheme="minorHAnsi"/>
                <w:noProof/>
              </w:rPr>
              <w:t xml:space="preserve">Garanția trebuie să asigure faptul că produsele sunt conforme cu specificațiile </w:t>
            </w:r>
            <w:r w:rsidRPr="00CE349B">
              <w:rPr>
                <w:rFonts w:cstheme="minorHAnsi"/>
                <w:noProof/>
              </w:rPr>
              <w:lastRenderedPageBreak/>
              <w:t xml:space="preserve">contractuale, fără costuri suplimentare. Aceasta include defectele bateriilor precum neîncărcarea bateriei, precum și imposibilitatea detectării conexiunii acesteia. </w:t>
            </w:r>
          </w:p>
          <w:p w14:paraId="3AD9F3A2" w14:textId="77777777" w:rsidR="00CE349B" w:rsidRPr="00CE349B" w:rsidRDefault="00CE349B" w:rsidP="00CE349B">
            <w:pPr>
              <w:spacing w:after="160" w:line="276" w:lineRule="auto"/>
              <w:jc w:val="both"/>
              <w:rPr>
                <w:rFonts w:cstheme="minorHAnsi"/>
                <w:b/>
                <w:noProof/>
              </w:rPr>
            </w:pPr>
            <w:r w:rsidRPr="00CE349B">
              <w:rPr>
                <w:rFonts w:cstheme="minorHAnsi"/>
                <w:b/>
                <w:noProof/>
              </w:rPr>
              <w:t>Detaliere sectiunea 4 din prezentul Caiet de sarcini.</w:t>
            </w:r>
          </w:p>
        </w:tc>
        <w:tc>
          <w:tcPr>
            <w:tcW w:w="4251" w:type="dxa"/>
            <w:shd w:val="clear" w:color="auto" w:fill="FFFFFF" w:themeFill="background1"/>
          </w:tcPr>
          <w:p w14:paraId="5664576E" w14:textId="77777777" w:rsidR="00CE349B" w:rsidRPr="00CE349B" w:rsidRDefault="00CE349B" w:rsidP="00CE349B">
            <w:pPr>
              <w:spacing w:after="160" w:line="276" w:lineRule="auto"/>
              <w:jc w:val="both"/>
              <w:rPr>
                <w:rFonts w:cstheme="minorHAnsi"/>
                <w:b/>
                <w:noProof/>
              </w:rPr>
            </w:pPr>
            <w:r w:rsidRPr="00CE349B">
              <w:rPr>
                <w:rFonts w:cstheme="minorHAnsi"/>
                <w:b/>
                <w:noProof/>
              </w:rPr>
              <w:lastRenderedPageBreak/>
              <w:t>Modalitate de verificare</w:t>
            </w:r>
          </w:p>
          <w:p w14:paraId="627AFF09" w14:textId="77777777" w:rsidR="00CE349B" w:rsidRPr="00CE349B" w:rsidRDefault="00CE349B" w:rsidP="00CE349B">
            <w:pPr>
              <w:spacing w:after="160" w:line="276" w:lineRule="auto"/>
              <w:jc w:val="both"/>
              <w:rPr>
                <w:rFonts w:cstheme="minorHAnsi"/>
                <w:noProof/>
              </w:rPr>
            </w:pPr>
          </w:p>
          <w:p w14:paraId="2396E193" w14:textId="77777777" w:rsidR="00CE349B" w:rsidRPr="00CE349B" w:rsidRDefault="00CE349B" w:rsidP="00CE349B">
            <w:pPr>
              <w:spacing w:after="160" w:line="276" w:lineRule="auto"/>
              <w:jc w:val="both"/>
              <w:rPr>
                <w:rFonts w:cstheme="minorHAnsi"/>
                <w:noProof/>
              </w:rPr>
            </w:pPr>
            <w:r w:rsidRPr="00CE349B">
              <w:rPr>
                <w:rFonts w:cstheme="minorHAnsi"/>
                <w:noProof/>
              </w:rPr>
              <w:t>Ofertantul va prezenta o declarație scrisă de garantare a produselor furnizate în conformitate cu prevederile contractuale și cu cerințele în materie de service.</w:t>
            </w:r>
          </w:p>
        </w:tc>
        <w:tc>
          <w:tcPr>
            <w:tcW w:w="4884" w:type="dxa"/>
            <w:shd w:val="clear" w:color="auto" w:fill="FFFFFF" w:themeFill="background1"/>
          </w:tcPr>
          <w:p w14:paraId="26940921" w14:textId="77777777" w:rsidR="00CE349B" w:rsidRPr="00CE349B" w:rsidRDefault="00CE349B" w:rsidP="00CE349B">
            <w:pPr>
              <w:spacing w:line="276" w:lineRule="auto"/>
              <w:jc w:val="both"/>
              <w:rPr>
                <w:rFonts w:cstheme="minorHAnsi"/>
                <w:b/>
                <w:noProof/>
              </w:rPr>
            </w:pPr>
          </w:p>
        </w:tc>
      </w:tr>
      <w:tr w:rsidR="00CE349B" w:rsidRPr="00CE349B" w14:paraId="06A03566" w14:textId="5C8A3845" w:rsidTr="00CE349B">
        <w:trPr>
          <w:jc w:val="center"/>
        </w:trPr>
        <w:tc>
          <w:tcPr>
            <w:tcW w:w="8400" w:type="dxa"/>
            <w:gridSpan w:val="2"/>
            <w:shd w:val="clear" w:color="auto" w:fill="FFFFFF" w:themeFill="background1"/>
          </w:tcPr>
          <w:p w14:paraId="089CE8EB" w14:textId="77777777" w:rsidR="00CE349B" w:rsidRPr="00CE349B" w:rsidRDefault="00CE349B" w:rsidP="00CE349B">
            <w:pPr>
              <w:spacing w:after="160" w:line="276" w:lineRule="auto"/>
              <w:jc w:val="both"/>
              <w:rPr>
                <w:rFonts w:cstheme="minorHAnsi"/>
                <w:b/>
                <w:noProof/>
              </w:rPr>
            </w:pPr>
            <w:r w:rsidRPr="00CE349B">
              <w:rPr>
                <w:rFonts w:cstheme="minorHAnsi"/>
                <w:b/>
                <w:noProof/>
              </w:rPr>
              <w:t>Principiul DNSH ”de a nu prejudicial în mod semnificativ” – ”do no significant harm”</w:t>
            </w:r>
          </w:p>
        </w:tc>
        <w:tc>
          <w:tcPr>
            <w:tcW w:w="4884" w:type="dxa"/>
            <w:shd w:val="clear" w:color="auto" w:fill="FFFFFF" w:themeFill="background1"/>
          </w:tcPr>
          <w:p w14:paraId="3D9D865C" w14:textId="77777777" w:rsidR="00CE349B" w:rsidRPr="00CE349B" w:rsidRDefault="00CE349B" w:rsidP="00CE349B">
            <w:pPr>
              <w:spacing w:line="276" w:lineRule="auto"/>
              <w:jc w:val="both"/>
              <w:rPr>
                <w:rFonts w:cstheme="minorHAnsi"/>
                <w:b/>
                <w:noProof/>
              </w:rPr>
            </w:pPr>
          </w:p>
        </w:tc>
      </w:tr>
      <w:tr w:rsidR="00CE349B" w:rsidRPr="00CE349B" w14:paraId="240568BC" w14:textId="5F384259" w:rsidTr="00CE349B">
        <w:trPr>
          <w:jc w:val="center"/>
        </w:trPr>
        <w:tc>
          <w:tcPr>
            <w:tcW w:w="4149" w:type="dxa"/>
            <w:shd w:val="clear" w:color="auto" w:fill="FFFFFF" w:themeFill="background1"/>
          </w:tcPr>
          <w:p w14:paraId="4B2D3C1B" w14:textId="77777777" w:rsidR="00CE349B" w:rsidRPr="00CE349B" w:rsidRDefault="00CE349B" w:rsidP="00CE349B">
            <w:pPr>
              <w:spacing w:after="160" w:line="276" w:lineRule="auto"/>
              <w:jc w:val="both"/>
              <w:rPr>
                <w:rFonts w:cstheme="minorHAnsi"/>
                <w:b/>
                <w:noProof/>
              </w:rPr>
            </w:pPr>
            <w:r w:rsidRPr="00CE349B">
              <w:rPr>
                <w:rFonts w:cstheme="minorHAnsi"/>
                <w:b/>
                <w:noProof/>
              </w:rPr>
              <w:t>Respectarea principiului DNSH</w:t>
            </w:r>
          </w:p>
        </w:tc>
        <w:tc>
          <w:tcPr>
            <w:tcW w:w="4251" w:type="dxa"/>
            <w:shd w:val="clear" w:color="auto" w:fill="FFFFFF" w:themeFill="background1"/>
          </w:tcPr>
          <w:p w14:paraId="2167BE8A" w14:textId="77777777" w:rsidR="00CE349B" w:rsidRPr="00CE349B" w:rsidRDefault="00CE349B" w:rsidP="00CE349B">
            <w:pPr>
              <w:spacing w:after="160" w:line="276" w:lineRule="auto"/>
              <w:jc w:val="both"/>
              <w:rPr>
                <w:rFonts w:cstheme="minorHAnsi"/>
                <w:b/>
                <w:noProof/>
              </w:rPr>
            </w:pPr>
            <w:r w:rsidRPr="00CE349B">
              <w:rPr>
                <w:rFonts w:cstheme="minorHAnsi"/>
                <w:b/>
                <w:noProof/>
              </w:rPr>
              <w:t>Modalitatea de verificare</w:t>
            </w:r>
          </w:p>
        </w:tc>
        <w:tc>
          <w:tcPr>
            <w:tcW w:w="4884" w:type="dxa"/>
            <w:shd w:val="clear" w:color="auto" w:fill="FFFFFF" w:themeFill="background1"/>
          </w:tcPr>
          <w:p w14:paraId="0C5642C0" w14:textId="77777777" w:rsidR="00CE349B" w:rsidRPr="00CE349B" w:rsidRDefault="00CE349B" w:rsidP="00CE349B">
            <w:pPr>
              <w:spacing w:line="276" w:lineRule="auto"/>
              <w:jc w:val="both"/>
              <w:rPr>
                <w:rFonts w:cstheme="minorHAnsi"/>
                <w:b/>
                <w:noProof/>
              </w:rPr>
            </w:pPr>
          </w:p>
        </w:tc>
      </w:tr>
      <w:tr w:rsidR="00CE349B" w:rsidRPr="00CE349B" w14:paraId="4A80CDBD" w14:textId="644B813C" w:rsidTr="00CE349B">
        <w:trPr>
          <w:jc w:val="center"/>
        </w:trPr>
        <w:tc>
          <w:tcPr>
            <w:tcW w:w="4149" w:type="dxa"/>
            <w:shd w:val="clear" w:color="auto" w:fill="FFFFFF" w:themeFill="background1"/>
          </w:tcPr>
          <w:p w14:paraId="7E8FBB66" w14:textId="77777777" w:rsidR="00CE349B" w:rsidRPr="00CE349B" w:rsidRDefault="00CE349B" w:rsidP="00CE349B">
            <w:pPr>
              <w:spacing w:after="160" w:line="276" w:lineRule="auto"/>
              <w:jc w:val="both"/>
              <w:rPr>
                <w:rFonts w:cstheme="minorHAnsi"/>
                <w:bCs/>
                <w:noProof/>
              </w:rPr>
            </w:pPr>
            <w:r w:rsidRPr="00CE349B">
              <w:rPr>
                <w:rFonts w:cstheme="minorHAnsi"/>
                <w:bCs/>
                <w:noProof/>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6B1546B7" w14:textId="77777777" w:rsidR="00CE349B" w:rsidRPr="00CE349B" w:rsidRDefault="00CE349B" w:rsidP="00CE349B">
            <w:pPr>
              <w:spacing w:after="160" w:line="276" w:lineRule="auto"/>
              <w:jc w:val="both"/>
              <w:rPr>
                <w:rFonts w:cstheme="minorHAnsi"/>
                <w:bCs/>
                <w:noProof/>
              </w:rPr>
            </w:pPr>
          </w:p>
          <w:p w14:paraId="2A46D4B1" w14:textId="77777777" w:rsidR="00CE349B" w:rsidRPr="00CE349B" w:rsidRDefault="00CE349B" w:rsidP="00CE349B">
            <w:pPr>
              <w:spacing w:after="160" w:line="276" w:lineRule="auto"/>
              <w:jc w:val="both"/>
              <w:rPr>
                <w:rFonts w:cstheme="minorHAnsi"/>
                <w:bCs/>
                <w:noProof/>
              </w:rPr>
            </w:pPr>
            <w:r w:rsidRPr="00CE349B">
              <w:rPr>
                <w:rFonts w:cstheme="minorHAnsi"/>
                <w:bCs/>
                <w:noProof/>
              </w:rPr>
              <w:t xml:space="preserve">Pe întreaga durată a ciclului de viață a produselor, nu vor fi prejudiciate niciunul dintre cele 6 obiective de mediu, prin </w:t>
            </w:r>
            <w:r w:rsidRPr="00CE349B">
              <w:rPr>
                <w:rFonts w:cstheme="minorHAnsi"/>
                <w:bCs/>
                <w:noProof/>
              </w:rPr>
              <w:lastRenderedPageBreak/>
              <w:t>raportare la prevederile art. 17 din Regulamentului (UE) 2020/852, respectiv:</w:t>
            </w:r>
          </w:p>
          <w:p w14:paraId="7A5A47AA" w14:textId="77777777" w:rsidR="00CE349B" w:rsidRPr="00CE349B" w:rsidRDefault="00CE349B" w:rsidP="00CE349B">
            <w:pPr>
              <w:spacing w:after="160" w:line="276" w:lineRule="auto"/>
              <w:jc w:val="both"/>
              <w:rPr>
                <w:rFonts w:cstheme="minorHAnsi"/>
                <w:bCs/>
                <w:noProof/>
              </w:rPr>
            </w:pPr>
            <w:r w:rsidRPr="00CE349B">
              <w:rPr>
                <w:rFonts w:cstheme="minorHAnsi"/>
                <w:bCs/>
                <w:noProof/>
              </w:rPr>
              <w:t>i.atenuarea schimbărilor climatice, produsele urmând a fi conforme cu cerințele privind energia conform Directivei 2009/125/CE.</w:t>
            </w:r>
          </w:p>
          <w:p w14:paraId="747C3BE4" w14:textId="77777777" w:rsidR="00CE349B" w:rsidRPr="00CE349B" w:rsidRDefault="00CE349B" w:rsidP="00CE349B">
            <w:pPr>
              <w:spacing w:after="160" w:line="276" w:lineRule="auto"/>
              <w:jc w:val="both"/>
              <w:rPr>
                <w:rFonts w:cstheme="minorHAnsi"/>
                <w:bCs/>
                <w:noProof/>
              </w:rPr>
            </w:pPr>
            <w:r w:rsidRPr="00CE349B">
              <w:rPr>
                <w:rFonts w:cstheme="minorHAnsi"/>
                <w:bCs/>
                <w:noProof/>
              </w:rPr>
              <w:t>ii.adaptarea la schimbările climatice;</w:t>
            </w:r>
          </w:p>
          <w:p w14:paraId="5D1292D6" w14:textId="77777777" w:rsidR="00CE349B" w:rsidRPr="00CE349B" w:rsidRDefault="00CE349B" w:rsidP="00CE349B">
            <w:pPr>
              <w:spacing w:after="160" w:line="276" w:lineRule="auto"/>
              <w:jc w:val="both"/>
              <w:rPr>
                <w:rFonts w:cstheme="minorHAnsi"/>
                <w:bCs/>
                <w:noProof/>
              </w:rPr>
            </w:pPr>
            <w:r w:rsidRPr="00CE349B">
              <w:rPr>
                <w:rFonts w:cstheme="minorHAnsi"/>
                <w:bCs/>
                <w:noProof/>
              </w:rPr>
              <w:t>iii.utilizarea durabilă și protecția resurselor de apă și a celor marine;</w:t>
            </w:r>
          </w:p>
          <w:p w14:paraId="2C980312" w14:textId="77777777" w:rsidR="00CE349B" w:rsidRPr="00CE349B" w:rsidRDefault="00CE349B" w:rsidP="00CE349B">
            <w:pPr>
              <w:spacing w:after="160" w:line="276" w:lineRule="auto"/>
              <w:jc w:val="both"/>
              <w:rPr>
                <w:rFonts w:cstheme="minorHAnsi"/>
                <w:bCs/>
                <w:noProof/>
              </w:rPr>
            </w:pPr>
            <w:r w:rsidRPr="00CE349B">
              <w:rPr>
                <w:rFonts w:cstheme="minorHAnsi"/>
                <w:bCs/>
                <w:noProof/>
              </w:rPr>
              <w:t>iv. tranziția către o economie circulară, inclusiv prevenirea generării de deșeuri și reciclarea acestora.</w:t>
            </w:r>
          </w:p>
          <w:p w14:paraId="5EBA8F85" w14:textId="77777777" w:rsidR="00CE349B" w:rsidRPr="00CE349B" w:rsidRDefault="00CE349B" w:rsidP="00CE349B">
            <w:pPr>
              <w:spacing w:after="160" w:line="276" w:lineRule="auto"/>
              <w:jc w:val="both"/>
              <w:rPr>
                <w:rFonts w:cstheme="minorHAnsi"/>
                <w:bCs/>
                <w:noProof/>
              </w:rPr>
            </w:pPr>
            <w:r w:rsidRPr="00CE349B">
              <w:rPr>
                <w:rFonts w:cstheme="minorHAnsi"/>
                <w:bCs/>
                <w:noProof/>
              </w:rPr>
              <w:t>v. prevenirea și controlul poluării;</w:t>
            </w:r>
          </w:p>
          <w:p w14:paraId="3620D42F" w14:textId="77777777" w:rsidR="00CE349B" w:rsidRPr="00CE349B" w:rsidRDefault="00CE349B" w:rsidP="00CE349B">
            <w:pPr>
              <w:spacing w:after="160" w:line="276" w:lineRule="auto"/>
              <w:jc w:val="both"/>
              <w:rPr>
                <w:rFonts w:cstheme="minorHAnsi"/>
                <w:bCs/>
                <w:noProof/>
              </w:rPr>
            </w:pPr>
            <w:r w:rsidRPr="00CE349B">
              <w:rPr>
                <w:rFonts w:cstheme="minorHAnsi"/>
                <w:bCs/>
                <w:noProof/>
              </w:rPr>
              <w:t>vi. protecția și refacerea biodiversității și a ecosistemelor.</w:t>
            </w:r>
          </w:p>
          <w:p w14:paraId="2478D403" w14:textId="77777777" w:rsidR="00CE349B" w:rsidRPr="00CE349B" w:rsidRDefault="00CE349B" w:rsidP="00CE349B">
            <w:pPr>
              <w:spacing w:after="160" w:line="276" w:lineRule="auto"/>
              <w:jc w:val="both"/>
              <w:rPr>
                <w:rFonts w:cstheme="minorHAnsi"/>
                <w:bCs/>
                <w:noProof/>
              </w:rPr>
            </w:pPr>
          </w:p>
          <w:p w14:paraId="4A6A2EC3" w14:textId="77777777" w:rsidR="00CE349B" w:rsidRPr="00CE349B" w:rsidRDefault="00CE349B" w:rsidP="00CE349B">
            <w:pPr>
              <w:spacing w:after="160" w:line="276" w:lineRule="auto"/>
              <w:jc w:val="both"/>
              <w:rPr>
                <w:rFonts w:cstheme="minorHAnsi"/>
                <w:bCs/>
                <w:noProof/>
              </w:rPr>
            </w:pPr>
            <w:r w:rsidRPr="00CE349B">
              <w:rPr>
                <w:rFonts w:cstheme="minorHAnsi"/>
                <w:bCs/>
                <w:noProof/>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6690C71A" w14:textId="77777777" w:rsidR="00CE349B" w:rsidRPr="00CE349B" w:rsidRDefault="00CE349B" w:rsidP="00CE349B">
            <w:pPr>
              <w:spacing w:after="160" w:line="276" w:lineRule="auto"/>
              <w:jc w:val="both"/>
              <w:rPr>
                <w:rFonts w:cstheme="minorHAnsi"/>
                <w:bCs/>
                <w:noProof/>
              </w:rPr>
            </w:pPr>
          </w:p>
          <w:p w14:paraId="5B332F99" w14:textId="77777777" w:rsidR="00CE349B" w:rsidRPr="00CE349B" w:rsidRDefault="00CE349B" w:rsidP="00CE349B">
            <w:pPr>
              <w:spacing w:after="160" w:line="276" w:lineRule="auto"/>
              <w:jc w:val="both"/>
              <w:rPr>
                <w:rFonts w:cstheme="minorHAnsi"/>
                <w:bCs/>
                <w:noProof/>
              </w:rPr>
            </w:pPr>
            <w:r w:rsidRPr="00CE349B">
              <w:rPr>
                <w:rFonts w:cstheme="minorHAnsi"/>
                <w:bCs/>
                <w:noProof/>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04441335" w14:textId="77777777" w:rsidR="001A04F4" w:rsidRPr="001A04F4" w:rsidRDefault="001A04F4" w:rsidP="001A04F4">
            <w:pPr>
              <w:spacing w:line="276" w:lineRule="auto"/>
              <w:jc w:val="both"/>
              <w:rPr>
                <w:rFonts w:cstheme="minorHAnsi"/>
                <w:bCs/>
                <w:noProof/>
                <w:lang w:val="ro-RO"/>
              </w:rPr>
            </w:pPr>
            <w:r w:rsidRPr="001A04F4">
              <w:rPr>
                <w:rFonts w:cstheme="minorHAnsi"/>
                <w:bCs/>
                <w:noProof/>
                <w:lang w:val="ro-RO"/>
              </w:rPr>
              <w:lastRenderedPageBreak/>
              <w:t>Fiecare ofertant va prezenta în cadrul Ofertei:</w:t>
            </w:r>
          </w:p>
          <w:p w14:paraId="42A19A1E" w14:textId="77777777" w:rsidR="001A04F4" w:rsidRPr="001A04F4" w:rsidRDefault="001A04F4" w:rsidP="001A04F4">
            <w:pPr>
              <w:numPr>
                <w:ilvl w:val="0"/>
                <w:numId w:val="29"/>
              </w:numPr>
              <w:spacing w:line="276" w:lineRule="auto"/>
              <w:jc w:val="both"/>
              <w:rPr>
                <w:rFonts w:cstheme="minorHAnsi"/>
                <w:b/>
                <w:bCs/>
                <w:noProof/>
                <w:lang w:val="ro-RO"/>
              </w:rPr>
            </w:pPr>
            <w:r w:rsidRPr="001A04F4">
              <w:rPr>
                <w:rFonts w:cstheme="minorHAnsi"/>
                <w:b/>
                <w:bCs/>
                <w:noProof/>
                <w:lang w:val="ro-RO"/>
              </w:rPr>
              <w:t>Declarația de asumare și respectare a principiului DNSH</w:t>
            </w:r>
          </w:p>
          <w:p w14:paraId="4CA23DC6" w14:textId="77777777" w:rsidR="001A04F4" w:rsidRPr="001A04F4" w:rsidRDefault="001A04F4" w:rsidP="001A04F4">
            <w:pPr>
              <w:spacing w:line="276" w:lineRule="auto"/>
              <w:jc w:val="both"/>
              <w:rPr>
                <w:rFonts w:cstheme="minorHAnsi"/>
                <w:b/>
                <w:bCs/>
                <w:noProof/>
                <w:lang w:val="ro-RO"/>
              </w:rPr>
            </w:pPr>
          </w:p>
          <w:p w14:paraId="0728BCB6" w14:textId="77777777" w:rsidR="001A04F4" w:rsidRPr="001A04F4" w:rsidRDefault="001A04F4" w:rsidP="001A04F4">
            <w:pPr>
              <w:spacing w:line="276" w:lineRule="auto"/>
              <w:jc w:val="both"/>
              <w:rPr>
                <w:rFonts w:cstheme="minorHAnsi"/>
                <w:bCs/>
                <w:noProof/>
                <w:lang w:val="ro-RO"/>
              </w:rPr>
            </w:pPr>
          </w:p>
          <w:p w14:paraId="40DC352F" w14:textId="77777777" w:rsidR="001A04F4" w:rsidRPr="001A04F4" w:rsidRDefault="001A04F4" w:rsidP="001A04F4">
            <w:pPr>
              <w:spacing w:line="276" w:lineRule="auto"/>
              <w:jc w:val="both"/>
              <w:rPr>
                <w:rFonts w:cstheme="minorHAnsi"/>
                <w:bCs/>
                <w:noProof/>
                <w:lang w:val="ro-RO"/>
              </w:rPr>
            </w:pPr>
            <w:r w:rsidRPr="001A04F4">
              <w:rPr>
                <w:rFonts w:cstheme="minorHAnsi"/>
                <w:bCs/>
                <w:noProof/>
                <w:lang w:val="ro-RO"/>
              </w:rPr>
              <w:t>În cadrul Declarației prezentate, Ofertanții vor lua în considerare cel puțin următoarele:</w:t>
            </w:r>
          </w:p>
          <w:p w14:paraId="5AF12636" w14:textId="77777777" w:rsidR="001A04F4" w:rsidRPr="001A04F4" w:rsidRDefault="001A04F4" w:rsidP="001A04F4">
            <w:pPr>
              <w:spacing w:line="276" w:lineRule="auto"/>
              <w:jc w:val="both"/>
              <w:rPr>
                <w:rFonts w:cstheme="minorHAnsi"/>
                <w:bCs/>
                <w:noProof/>
                <w:lang w:val="ro-RO"/>
              </w:rPr>
            </w:pPr>
          </w:p>
          <w:p w14:paraId="7053D329" w14:textId="77777777" w:rsidR="001A04F4" w:rsidRPr="001A04F4" w:rsidRDefault="001A04F4" w:rsidP="001A04F4">
            <w:pPr>
              <w:numPr>
                <w:ilvl w:val="0"/>
                <w:numId w:val="30"/>
              </w:numPr>
              <w:spacing w:line="276" w:lineRule="auto"/>
              <w:jc w:val="both"/>
              <w:rPr>
                <w:rFonts w:cstheme="minorHAnsi"/>
                <w:bCs/>
                <w:noProof/>
                <w:lang w:val="ro-RO"/>
              </w:rPr>
            </w:pPr>
            <w:r w:rsidRPr="001A04F4">
              <w:rPr>
                <w:rFonts w:cstheme="minorHAnsi"/>
                <w:bCs/>
                <w:noProof/>
                <w:lang w:val="ro-RO"/>
              </w:rPr>
              <w:t>Obiectivele de mediu (6 obiective)</w:t>
            </w:r>
          </w:p>
          <w:p w14:paraId="5AD8BB29" w14:textId="77777777" w:rsidR="001A04F4" w:rsidRPr="001A04F4" w:rsidRDefault="001A04F4" w:rsidP="001A04F4">
            <w:pPr>
              <w:numPr>
                <w:ilvl w:val="0"/>
                <w:numId w:val="30"/>
              </w:numPr>
              <w:spacing w:line="276" w:lineRule="auto"/>
              <w:jc w:val="both"/>
              <w:rPr>
                <w:rFonts w:cstheme="minorHAnsi"/>
                <w:bCs/>
                <w:noProof/>
                <w:lang w:val="ro-RO"/>
              </w:rPr>
            </w:pPr>
            <w:r w:rsidRPr="001A04F4">
              <w:rPr>
                <w:rFonts w:cstheme="minorHAnsi"/>
                <w:bCs/>
                <w:noProof/>
                <w:lang w:val="ro-RO"/>
              </w:rPr>
              <w:t xml:space="preserve">Modalitatea de asumare a livrării produselor (ex. Livrarea eficientă din perspectiva transportului, posibilitatea de utilizare a mijloacelor de transport electrice, cu zero emisii și în afara </w:t>
            </w:r>
            <w:r w:rsidRPr="001A04F4">
              <w:rPr>
                <w:rFonts w:cstheme="minorHAnsi"/>
                <w:bCs/>
                <w:noProof/>
                <w:lang w:val="ro-RO"/>
              </w:rPr>
              <w:lastRenderedPageBreak/>
              <w:t>orelor de vârf de trafic) – dacă este cazul</w:t>
            </w:r>
          </w:p>
          <w:p w14:paraId="3B6FC90D" w14:textId="77777777" w:rsidR="00CE349B" w:rsidRPr="00CE349B" w:rsidRDefault="00CE349B" w:rsidP="00CE349B">
            <w:pPr>
              <w:spacing w:after="160" w:line="276" w:lineRule="auto"/>
              <w:ind w:left="360"/>
              <w:jc w:val="both"/>
              <w:rPr>
                <w:rFonts w:cstheme="minorHAnsi"/>
                <w:bCs/>
                <w:noProof/>
                <w:highlight w:val="yellow"/>
              </w:rPr>
            </w:pPr>
          </w:p>
        </w:tc>
        <w:tc>
          <w:tcPr>
            <w:tcW w:w="4884" w:type="dxa"/>
            <w:shd w:val="clear" w:color="auto" w:fill="FFFFFF" w:themeFill="background1"/>
          </w:tcPr>
          <w:p w14:paraId="3FA9D18F" w14:textId="77777777" w:rsidR="00CE349B" w:rsidRPr="00CE349B" w:rsidRDefault="00CE349B" w:rsidP="00CE349B">
            <w:pPr>
              <w:spacing w:line="276" w:lineRule="auto"/>
              <w:jc w:val="both"/>
              <w:rPr>
                <w:rFonts w:cstheme="minorHAnsi"/>
                <w:bCs/>
                <w:noProof/>
              </w:rPr>
            </w:pPr>
          </w:p>
        </w:tc>
      </w:tr>
    </w:tbl>
    <w:p w14:paraId="289A0880" w14:textId="77777777" w:rsidR="00CE349B" w:rsidRDefault="00CE349B" w:rsidP="00EF4E48">
      <w:pPr>
        <w:spacing w:after="0" w:line="360" w:lineRule="auto"/>
        <w:rPr>
          <w:rFonts w:cstheme="minorHAnsi"/>
          <w:kern w:val="0"/>
        </w:rPr>
      </w:pPr>
    </w:p>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indeplinire a cerintelor referitoare la </w:t>
      </w:r>
      <w:r w:rsidRPr="00EA32E5">
        <w:rPr>
          <w:rFonts w:cstheme="minorHAnsi"/>
          <w:b/>
          <w:bCs/>
          <w:i/>
          <w:iCs/>
          <w:kern w:val="0"/>
          <w:highlight w:val="lightGray"/>
        </w:rPr>
        <w:t>garantie si remedierea defectelor aparute in perioada de garantie</w:t>
      </w:r>
      <w:r w:rsidRPr="00EA32E5">
        <w:rPr>
          <w:rFonts w:cstheme="minorHAnsi"/>
          <w:b/>
          <w:bCs/>
          <w:i/>
          <w:iCs/>
          <w:kern w:val="0"/>
        </w:rPr>
        <w:t xml:space="preserve">   </w:t>
      </w:r>
      <w:r w:rsidRPr="00EA32E5">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3A44A050" w14:textId="77777777" w:rsidTr="005A51FF">
        <w:tc>
          <w:tcPr>
            <w:tcW w:w="8642" w:type="dxa"/>
          </w:tcPr>
          <w:p w14:paraId="64870FF9" w14:textId="77777777" w:rsidR="00EA32E5" w:rsidRPr="00244233" w:rsidRDefault="00EA32E5" w:rsidP="00EF4E48">
            <w:pPr>
              <w:spacing w:line="360" w:lineRule="auto"/>
              <w:jc w:val="both"/>
              <w:rPr>
                <w:rFonts w:cstheme="minorHAnsi"/>
                <w:lang w:val="it-IT"/>
              </w:rPr>
            </w:pPr>
            <w:r w:rsidRPr="0024423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77777777" w:rsidR="00EA32E5" w:rsidRPr="00244233" w:rsidRDefault="00EA32E5" w:rsidP="00EF4E48">
            <w:pPr>
              <w:spacing w:line="360" w:lineRule="auto"/>
              <w:jc w:val="both"/>
              <w:rPr>
                <w:rFonts w:cstheme="minorHAnsi"/>
                <w:lang w:val="it-IT"/>
              </w:rPr>
            </w:pPr>
            <w:r w:rsidRPr="0024423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Fiecare produs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09F77148" w:rsidR="00EA32E5" w:rsidRPr="00244233" w:rsidRDefault="00EA32E5" w:rsidP="00EF4E48">
            <w:pPr>
              <w:spacing w:line="360" w:lineRule="auto"/>
              <w:jc w:val="both"/>
              <w:rPr>
                <w:rFonts w:cstheme="minorHAnsi"/>
                <w:lang w:val="it-IT"/>
              </w:rPr>
            </w:pPr>
            <w:r w:rsidRPr="00244233">
              <w:rPr>
                <w:rFonts w:cstheme="minorHAnsi"/>
                <w:lang w:val="it-IT"/>
              </w:rPr>
              <w:t>Contractantul va ambala si eticheta produsele furnizate astfel încât să prevină orice daună sau deteriorare în timpul transportului acestora către destinația stabilită.</w:t>
            </w:r>
            <w:r w:rsidR="009D2ADF">
              <w:rPr>
                <w:rFonts w:cstheme="minorHAnsi"/>
                <w:lang w:val="it-IT"/>
              </w:rPr>
              <w:t xml:space="preserve"> </w:t>
            </w:r>
            <w:r w:rsidR="009D2ADF" w:rsidRPr="009D2ADF">
              <w:rPr>
                <w:rFonts w:cstheme="minorHAnsi"/>
                <w:lang w:val="it-IT"/>
              </w:rPr>
              <w:t>Riscul transportului până la sediul Beneficiarului aparține în totalitate Contractantului.</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7D07E457" w14:textId="77777777"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44233" w:rsidRDefault="00EA32E5" w:rsidP="00EF4E48">
            <w:pPr>
              <w:spacing w:line="360" w:lineRule="auto"/>
              <w:jc w:val="both"/>
              <w:rPr>
                <w:rFonts w:cstheme="minorHAnsi"/>
                <w:lang w:val="it-IT"/>
              </w:rPr>
            </w:pPr>
          </w:p>
          <w:p w14:paraId="69BF93EA"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Toate materialele de ambalare, precum si toate materialele necesare protecției coletelor (folii de protecție, cutii, etc.) vor fi preluate de către Contractant după instalarea si testarea </w:t>
            </w:r>
            <w:r w:rsidRPr="00244233">
              <w:rPr>
                <w:rFonts w:cstheme="minorHAnsi"/>
                <w:lang w:val="it-IT"/>
              </w:rPr>
              <w:lastRenderedPageBreak/>
              <w:t>echipamentelor cu excepția acelor ambalaje care sunt necesare a fi prezentate in vederea acordării garanției.</w:t>
            </w:r>
          </w:p>
          <w:p w14:paraId="759A6A58" w14:textId="77777777" w:rsidR="00EA32E5" w:rsidRPr="00244233" w:rsidRDefault="00EA32E5" w:rsidP="00EF4E48">
            <w:pPr>
              <w:spacing w:line="360" w:lineRule="auto"/>
              <w:jc w:val="both"/>
              <w:rPr>
                <w:rFonts w:cstheme="minorHAnsi"/>
                <w:lang w:val="it-IT"/>
              </w:rPr>
            </w:pPr>
          </w:p>
          <w:p w14:paraId="3FEEB937" w14:textId="77777777" w:rsidR="00EA32E5" w:rsidRPr="00244233" w:rsidRDefault="00EA32E5" w:rsidP="00EF4E48">
            <w:pPr>
              <w:spacing w:line="360" w:lineRule="auto"/>
              <w:jc w:val="both"/>
              <w:rPr>
                <w:rFonts w:cstheme="minorHAnsi"/>
                <w:lang w:val="it-IT"/>
              </w:rPr>
            </w:pPr>
            <w:r w:rsidRPr="0024423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44444793" w14:textId="77777777" w:rsidR="00EA32E5" w:rsidRPr="00244233" w:rsidRDefault="00EA32E5" w:rsidP="00EF4E48">
            <w:pPr>
              <w:spacing w:line="360" w:lineRule="auto"/>
              <w:jc w:val="both"/>
              <w:rPr>
                <w:rFonts w:cstheme="minorHAnsi"/>
                <w:lang w:val="it-IT"/>
              </w:rPr>
            </w:pPr>
          </w:p>
          <w:p w14:paraId="0A7AAF04"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p w14:paraId="1F98F36A" w14:textId="77777777" w:rsidR="00EA32E5" w:rsidRPr="00244233" w:rsidRDefault="00EA32E5" w:rsidP="00EF4E48">
            <w:pPr>
              <w:spacing w:line="360" w:lineRule="auto"/>
              <w:rPr>
                <w:rFonts w:cstheme="minorHAnsi"/>
                <w:lang w:val="it-IT"/>
              </w:rPr>
            </w:pPr>
          </w:p>
        </w:tc>
        <w:tc>
          <w:tcPr>
            <w:tcW w:w="5812" w:type="dxa"/>
          </w:tcPr>
          <w:p w14:paraId="49BEDD82" w14:textId="77777777" w:rsidR="00EA32E5" w:rsidRPr="00244233" w:rsidRDefault="00EA32E5" w:rsidP="00EF4E48">
            <w:pPr>
              <w:spacing w:line="360" w:lineRule="auto"/>
              <w:rPr>
                <w:rFonts w:cstheme="minorHAnsi"/>
                <w:lang w:val="it-IT"/>
              </w:rPr>
            </w:pPr>
          </w:p>
        </w:tc>
      </w:tr>
    </w:tbl>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Operatiuni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4.1  Instalare, punere in functiune,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29A50F52" w14:textId="77777777" w:rsidTr="005A51FF">
        <w:tc>
          <w:tcPr>
            <w:tcW w:w="7792" w:type="dxa"/>
          </w:tcPr>
          <w:p w14:paraId="7DCA34B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 xml:space="preserve">După livrarea </w:t>
            </w:r>
            <w:r w:rsidRPr="00244233">
              <w:rPr>
                <w:rFonts w:cstheme="minorHAnsi"/>
                <w:lang w:val="it-IT"/>
              </w:rPr>
              <w:lastRenderedPageBreak/>
              <w:t>și instalarea produselor,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3D4215D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Odată ce produsele sunt asamblate, contractantul va realiza toate configurările/setările necesare pentru a pune produsele în funcțiune. </w:t>
            </w:r>
          </w:p>
          <w:p w14:paraId="2B4D9202" w14:textId="77777777" w:rsidR="00EA32E5" w:rsidRPr="00244233" w:rsidRDefault="00EA32E5" w:rsidP="00EF4E48">
            <w:pPr>
              <w:spacing w:line="360" w:lineRule="auto"/>
              <w:jc w:val="both"/>
              <w:rPr>
                <w:rFonts w:cstheme="minorHAnsi"/>
                <w:lang w:val="it-IT"/>
              </w:rPr>
            </w:pP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4A6075F6" w14:textId="77777777"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44233" w:rsidRDefault="00EA32E5" w:rsidP="00EF4E48">
            <w:pPr>
              <w:spacing w:line="360" w:lineRule="auto"/>
              <w:jc w:val="both"/>
              <w:rPr>
                <w:rFonts w:cstheme="minorHAnsi"/>
                <w:lang w:val="it-IT"/>
              </w:rPr>
            </w:pPr>
          </w:p>
          <w:p w14:paraId="4673638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244233" w:rsidRDefault="00EA32E5" w:rsidP="00EF4E48">
            <w:pPr>
              <w:spacing w:line="360" w:lineRule="auto"/>
              <w:jc w:val="both"/>
              <w:rPr>
                <w:rFonts w:cstheme="minorHAnsi"/>
                <w:lang w:val="it-IT"/>
              </w:rPr>
            </w:pP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270888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rămâne responsabil pentru protejarea produselor luând toate masurile adecvate pentru a preveni lovituri, zgârieturi și alte deteriorări, până la acceptare de catre Beneficiar. </w:t>
            </w:r>
          </w:p>
          <w:p w14:paraId="0D6348C0" w14:textId="77777777" w:rsidR="00EA32E5" w:rsidRPr="00244233" w:rsidRDefault="00EA32E5" w:rsidP="00EF4E48">
            <w:pPr>
              <w:spacing w:line="360" w:lineRule="auto"/>
              <w:rPr>
                <w:rFonts w:cstheme="minorHAnsi"/>
                <w:lang w:val="it-IT"/>
              </w:rPr>
            </w:pPr>
          </w:p>
        </w:tc>
        <w:tc>
          <w:tcPr>
            <w:tcW w:w="6520" w:type="dxa"/>
          </w:tcPr>
          <w:p w14:paraId="34EAAABE" w14:textId="77777777" w:rsidR="00EA32E5" w:rsidRPr="00244233" w:rsidRDefault="00EA32E5" w:rsidP="00EF4E48">
            <w:pPr>
              <w:spacing w:line="360" w:lineRule="auto"/>
              <w:rPr>
                <w:rFonts w:cstheme="minorHAnsi"/>
                <w:lang w:val="it-IT"/>
              </w:rPr>
            </w:pPr>
          </w:p>
        </w:tc>
      </w:tr>
    </w:tbl>
    <w:p w14:paraId="66DC63D0" w14:textId="2FEE173A" w:rsidR="005A51FF" w:rsidRDefault="005A51FF" w:rsidP="00EF4E48">
      <w:pPr>
        <w:spacing w:after="0" w:line="360" w:lineRule="auto"/>
        <w:rPr>
          <w:rFonts w:cstheme="minorHAnsi"/>
          <w:kern w:val="0"/>
        </w:rPr>
      </w:pPr>
    </w:p>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7689D47F" w14:textId="77777777" w:rsidTr="005A51FF">
        <w:tc>
          <w:tcPr>
            <w:tcW w:w="8926" w:type="dxa"/>
          </w:tcPr>
          <w:p w14:paraId="6EE5323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 xml:space="preserve">După livrarea și instalarea produselor, </w:t>
            </w:r>
            <w:r w:rsidRPr="00244233">
              <w:rPr>
                <w:rFonts w:cstheme="minorHAnsi"/>
                <w:lang w:val="it-IT"/>
              </w:rPr>
              <w:lastRenderedPageBreak/>
              <w:t>Contractantul va elimina toate deșeurile rezultate și va lua măsurile adecvate pentru a aduna toate ambalajele și eliminarea acestora de la locul de instalare.</w:t>
            </w:r>
          </w:p>
          <w:p w14:paraId="69C3EAC0" w14:textId="77777777" w:rsidR="00EA32E5" w:rsidRPr="00244233" w:rsidRDefault="00EA32E5" w:rsidP="00EF4E48">
            <w:pPr>
              <w:spacing w:line="360" w:lineRule="auto"/>
              <w:jc w:val="both"/>
              <w:rPr>
                <w:rFonts w:cstheme="minorHAnsi"/>
                <w:lang w:val="it-IT"/>
              </w:rPr>
            </w:pP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5D97225F" w14:textId="77777777" w:rsidR="00EA32E5" w:rsidRPr="00244233" w:rsidRDefault="00EA32E5" w:rsidP="00EF4E48">
            <w:pPr>
              <w:spacing w:line="360" w:lineRule="auto"/>
              <w:jc w:val="both"/>
              <w:rPr>
                <w:rFonts w:cstheme="minorHAnsi"/>
                <w:lang w:val="it-IT"/>
              </w:rPr>
            </w:pP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1608CCB6"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AA23091" w14:textId="77777777" w:rsidR="00EA32E5" w:rsidRPr="00244233" w:rsidRDefault="00EA32E5" w:rsidP="00EF4E48">
            <w:pPr>
              <w:spacing w:line="360" w:lineRule="auto"/>
              <w:jc w:val="both"/>
              <w:rPr>
                <w:rFonts w:cstheme="minorHAnsi"/>
                <w:lang w:val="it-IT"/>
              </w:rPr>
            </w:pPr>
          </w:p>
          <w:p w14:paraId="6B2E0B55"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preventivă, Contractantul trebuie efectueze teste de funcționare ale produsului si sa prezinte un raport care sa includă activitățile realizate.</w:t>
            </w:r>
          </w:p>
          <w:p w14:paraId="6075A1DB" w14:textId="77777777" w:rsidR="00EA32E5" w:rsidRPr="00244233" w:rsidRDefault="00EA32E5" w:rsidP="00EF4E48">
            <w:pPr>
              <w:spacing w:line="360" w:lineRule="auto"/>
              <w:jc w:val="both"/>
              <w:rPr>
                <w:rFonts w:cstheme="minorHAnsi"/>
                <w:lang w:val="it-IT"/>
              </w:rPr>
            </w:pP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t>Mentenanta corectivă în perioada post-garantie</w:t>
      </w:r>
    </w:p>
    <w:p w14:paraId="5FC31CAF" w14:textId="77777777" w:rsidR="00EA32E5" w:rsidRPr="00EA32E5"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3BC01FD0" w14:textId="77777777" w:rsidTr="005A51FF">
        <w:tc>
          <w:tcPr>
            <w:tcW w:w="8784" w:type="dxa"/>
          </w:tcPr>
          <w:p w14:paraId="2C6232CB"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4E43549C" w14:textId="77777777" w:rsidR="00EA32E5" w:rsidRPr="00244233" w:rsidRDefault="00EA32E5" w:rsidP="00EF4E48">
            <w:pPr>
              <w:spacing w:line="360" w:lineRule="auto"/>
              <w:jc w:val="both"/>
              <w:rPr>
                <w:rFonts w:cstheme="minorHAnsi"/>
                <w:lang w:val="it-IT"/>
              </w:rPr>
            </w:pP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69FCD088"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22D8E553" w14:textId="77777777" w:rsidR="00EA32E5" w:rsidRPr="00244233" w:rsidRDefault="00EA32E5" w:rsidP="00EF4E48">
            <w:pPr>
              <w:spacing w:line="360" w:lineRule="auto"/>
              <w:jc w:val="both"/>
              <w:rPr>
                <w:rFonts w:cstheme="minorHAnsi"/>
                <w:lang w:val="it-IT"/>
              </w:rPr>
            </w:pPr>
          </w:p>
          <w:p w14:paraId="75E2548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06D2964B" w14:textId="77777777" w:rsidR="00EA32E5" w:rsidRPr="00244233" w:rsidRDefault="00EA32E5" w:rsidP="00EF4E48">
            <w:pPr>
              <w:spacing w:line="360" w:lineRule="auto"/>
              <w:jc w:val="both"/>
              <w:rPr>
                <w:rFonts w:cstheme="minorHAnsi"/>
                <w:lang w:val="it-IT"/>
              </w:rPr>
            </w:pPr>
          </w:p>
          <w:p w14:paraId="57DC7278" w14:textId="77777777" w:rsidR="00EA32E5" w:rsidRPr="00EA32E5" w:rsidRDefault="00EA32E5" w:rsidP="00EF4E48">
            <w:pPr>
              <w:spacing w:line="360" w:lineRule="auto"/>
              <w:jc w:val="both"/>
              <w:rPr>
                <w:rFonts w:cstheme="minorHAnsi"/>
              </w:rPr>
            </w:pPr>
            <w:r w:rsidRPr="00EA32E5">
              <w:rPr>
                <w:rFonts w:cstheme="minorHAnsi"/>
              </w:rPr>
              <w:t xml:space="preserve">Operațiunile de mentenanța corectivă trebuie efectuate în condiții de securitate, cu protejarea adecvată a personalului care efectuează mentenanță și a altor persoane prezente la locul unde are loc intervenția.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62E1332E"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p w14:paraId="74756398" w14:textId="77777777" w:rsidR="00EA32E5" w:rsidRPr="00244233" w:rsidRDefault="00EA32E5" w:rsidP="00EF4E48">
            <w:pPr>
              <w:spacing w:line="360" w:lineRule="auto"/>
              <w:jc w:val="both"/>
              <w:rPr>
                <w:rFonts w:cstheme="minorHAnsi"/>
                <w:lang w:val="it-IT"/>
              </w:rPr>
            </w:pP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54914088" w14:textId="77777777" w:rsidR="00EA32E5" w:rsidRPr="00EA32E5" w:rsidRDefault="00EA32E5" w:rsidP="00EF4E48">
      <w:pPr>
        <w:spacing w:after="0" w:line="360" w:lineRule="auto"/>
        <w:rPr>
          <w:rFonts w:cstheme="minorHAnsi"/>
          <w:kern w:val="0"/>
        </w:rPr>
      </w:pPr>
    </w:p>
    <w:p w14:paraId="636596AB" w14:textId="77777777" w:rsidR="00EA32E5" w:rsidRPr="00EA32E5" w:rsidRDefault="00EA32E5" w:rsidP="00EF4E48">
      <w:pPr>
        <w:spacing w:after="0" w:line="360" w:lineRule="auto"/>
        <w:rPr>
          <w:rFonts w:cstheme="minorHAnsi"/>
          <w:kern w:val="0"/>
        </w:rPr>
      </w:pPr>
    </w:p>
    <w:p w14:paraId="242C3853" w14:textId="09747E77"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4.5</w:t>
      </w:r>
      <w:r w:rsidRPr="00EA32E5">
        <w:rPr>
          <w:rFonts w:eastAsiaTheme="majorEastAsia" w:cstheme="majorBidi"/>
          <w:b/>
          <w:bCs/>
          <w:color w:val="404040" w:themeColor="text1" w:themeTint="BF"/>
          <w:kern w:val="0"/>
          <w:sz w:val="24"/>
          <w:szCs w:val="24"/>
        </w:rPr>
        <w:tab/>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2ED6FA16" w14:textId="77777777" w:rsidR="00EA32E5" w:rsidRPr="00EA32E5" w:rsidRDefault="00EA32E5" w:rsidP="00EF4E48">
      <w:pPr>
        <w:spacing w:after="0" w:line="360" w:lineRule="auto"/>
        <w:rPr>
          <w:rFonts w:cstheme="minorHAnsi"/>
          <w:kern w:val="0"/>
        </w:rPr>
      </w:pPr>
    </w:p>
    <w:p w14:paraId="0844F9EF" w14:textId="77777777" w:rsidR="00EA32E5" w:rsidRPr="00EA32E5" w:rsidRDefault="00EA32E5" w:rsidP="00EF4E48">
      <w:pPr>
        <w:spacing w:after="0" w:line="360" w:lineRule="auto"/>
        <w:rPr>
          <w:rFonts w:cstheme="minorHAnsi"/>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4.6</w:t>
      </w:r>
      <w:r w:rsidRPr="00EA32E5">
        <w:rPr>
          <w:rFonts w:eastAsiaTheme="majorEastAsia" w:cstheme="majorBidi"/>
          <w:b/>
          <w:bCs/>
          <w:color w:val="404040" w:themeColor="text1" w:themeTint="BF"/>
          <w:kern w:val="0"/>
          <w:sz w:val="24"/>
          <w:szCs w:val="24"/>
        </w:rPr>
        <w:tab/>
        <w:t xml:space="preserve">Piese de schimb si materiale consumabile pentru activitatile din programul de mentenanta corectiva dupa expirarea garantiei  </w:t>
      </w:r>
    </w:p>
    <w:tbl>
      <w:tblPr>
        <w:tblStyle w:val="TableGrid"/>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03ED0536" w14:textId="77777777" w:rsidTr="005A51FF">
        <w:tc>
          <w:tcPr>
            <w:tcW w:w="8784" w:type="dxa"/>
          </w:tcPr>
          <w:p w14:paraId="7B90909D" w14:textId="353CA1F3"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9A48FF">
              <w:rPr>
                <w:rFonts w:cstheme="minorHAnsi"/>
                <w:lang w:val="it-IT"/>
              </w:rPr>
              <w:t>1 an.</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44E15901" w14:textId="77777777"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p w14:paraId="14206132" w14:textId="77777777" w:rsidR="00EA32E5" w:rsidRPr="00244233" w:rsidRDefault="00EA32E5" w:rsidP="00EF4E48">
            <w:pPr>
              <w:spacing w:line="360" w:lineRule="auto"/>
              <w:jc w:val="both"/>
              <w:rPr>
                <w:rFonts w:cstheme="minorHAnsi"/>
                <w:lang w:val="it-IT"/>
              </w:rPr>
            </w:pP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5608653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52AE4A5E" w14:textId="55C51E2E" w:rsidR="00EA32E5" w:rsidRPr="00D97DD7"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0367D9C9"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Recepția produselor</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Procesul verbal de recepție calitativă va însoți factura si reprezintă elementul necesar realizării plații, impreuna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17211214" w14:textId="77777777"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6ABF47FA" w14:textId="77777777" w:rsidR="00EA32E5" w:rsidRPr="00EA32E5" w:rsidRDefault="00EA32E5" w:rsidP="00EF4E48">
      <w:pPr>
        <w:spacing w:after="0" w:line="360" w:lineRule="auto"/>
        <w:jc w:val="both"/>
        <w:rPr>
          <w:rFonts w:cstheme="minorHAnsi"/>
          <w:kern w:val="0"/>
        </w:rPr>
      </w:pPr>
    </w:p>
    <w:p w14:paraId="4739434C" w14:textId="77777777" w:rsidR="00EA32E5" w:rsidRPr="00EA32E5" w:rsidRDefault="00EA32E5" w:rsidP="00EF4E48">
      <w:pPr>
        <w:spacing w:after="0" w:line="360" w:lineRule="auto"/>
        <w:jc w:val="both"/>
        <w:rPr>
          <w:rFonts w:cstheme="minorHAnsi"/>
          <w:kern w:val="0"/>
        </w:rPr>
      </w:pPr>
      <w:r w:rsidRPr="00EA32E5">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7AD78FA6" w14:textId="77777777" w:rsidR="00EA32E5" w:rsidRPr="00EA32E5" w:rsidRDefault="00EA32E5" w:rsidP="00EF4E48">
      <w:pPr>
        <w:spacing w:after="0" w:line="360" w:lineRule="auto"/>
        <w:jc w:val="both"/>
        <w:rPr>
          <w:rFonts w:cstheme="minorHAnsi"/>
          <w:kern w:val="0"/>
        </w:rPr>
      </w:pPr>
    </w:p>
    <w:p w14:paraId="3AAED9BA" w14:textId="654CD81A" w:rsidR="00EA32E5" w:rsidRPr="00EA32E5" w:rsidRDefault="00EA32E5" w:rsidP="00EF4E48">
      <w:pPr>
        <w:spacing w:after="0" w:line="360" w:lineRule="auto"/>
        <w:jc w:val="both"/>
        <w:rPr>
          <w:rFonts w:cstheme="minorHAnsi"/>
          <w:kern w:val="0"/>
        </w:rPr>
      </w:pPr>
      <w:r w:rsidRPr="00EA32E5">
        <w:rPr>
          <w:rFonts w:cstheme="minorHAnsi"/>
          <w:kern w:val="0"/>
        </w:rPr>
        <w:t xml:space="preserve">Plățile în favoarea Contractantului se vor efectua  in termen de </w:t>
      </w:r>
      <w:r w:rsidR="00762101">
        <w:rPr>
          <w:rFonts w:cstheme="minorHAnsi"/>
          <w:kern w:val="0"/>
        </w:rPr>
        <w:t>6</w:t>
      </w:r>
      <w:r w:rsidRPr="00EA32E5">
        <w:rPr>
          <w:rFonts w:cstheme="minorHAnsi"/>
          <w:kern w:val="0"/>
        </w:rPr>
        <w:t xml:space="preserve">0 de zile de la încasarea acestora conform mecanismului de plată stabilit, respectiv în termen de </w:t>
      </w:r>
      <w:r w:rsidR="00762101">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1417AC9D"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Default="005A51FF" w:rsidP="00EF4E48">
      <w:pPr>
        <w:spacing w:after="0" w:line="360" w:lineRule="auto"/>
        <w:rPr>
          <w:rFonts w:cstheme="minorHAnsi"/>
          <w:kern w:val="0"/>
        </w:rPr>
      </w:pPr>
    </w:p>
    <w:p w14:paraId="49732755" w14:textId="77777777" w:rsidR="005A51FF" w:rsidRPr="00EA32E5" w:rsidRDefault="005A51FF" w:rsidP="00EF4E48">
      <w:pPr>
        <w:spacing w:after="0" w:line="360" w:lineRule="auto"/>
        <w:rPr>
          <w:rFonts w:cstheme="minorHAnsi"/>
          <w:kern w:val="0"/>
        </w:rPr>
      </w:pP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EA32E5">
        <w:rPr>
          <w:kern w:val="0"/>
          <w:sz w:val="24"/>
          <w:szCs w:val="24"/>
          <w:lang w:val="en-US"/>
        </w:rPr>
        <w:t>(denumirea/numele operatorului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36CBF" w14:textId="77777777" w:rsidR="00E1583E" w:rsidRDefault="00E1583E" w:rsidP="0054248B">
      <w:pPr>
        <w:spacing w:after="0" w:line="240" w:lineRule="auto"/>
      </w:pPr>
      <w:r>
        <w:separator/>
      </w:r>
    </w:p>
  </w:endnote>
  <w:endnote w:type="continuationSeparator" w:id="0">
    <w:p w14:paraId="5B45FB35" w14:textId="77777777" w:rsidR="00E1583E" w:rsidRDefault="00E1583E" w:rsidP="0054248B">
      <w:pPr>
        <w:spacing w:after="0" w:line="240" w:lineRule="auto"/>
      </w:pPr>
      <w:r>
        <w:continuationSeparator/>
      </w:r>
    </w:p>
  </w:endnote>
  <w:endnote w:type="continuationNotice" w:id="1">
    <w:p w14:paraId="206BC31E" w14:textId="77777777" w:rsidR="00E1583E" w:rsidRDefault="00E15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EF39" w14:textId="77777777" w:rsidR="00E1583E" w:rsidRDefault="00E1583E" w:rsidP="0054248B">
      <w:pPr>
        <w:spacing w:after="0" w:line="240" w:lineRule="auto"/>
      </w:pPr>
      <w:r>
        <w:separator/>
      </w:r>
    </w:p>
  </w:footnote>
  <w:footnote w:type="continuationSeparator" w:id="0">
    <w:p w14:paraId="4C6291AD" w14:textId="77777777" w:rsidR="00E1583E" w:rsidRDefault="00E1583E" w:rsidP="0054248B">
      <w:pPr>
        <w:spacing w:after="0" w:line="240" w:lineRule="auto"/>
      </w:pPr>
      <w:r>
        <w:continuationSeparator/>
      </w:r>
    </w:p>
  </w:footnote>
  <w:footnote w:type="continuationNotice" w:id="1">
    <w:p w14:paraId="2620837A" w14:textId="77777777" w:rsidR="00E1583E" w:rsidRDefault="00E15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8240"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1"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58242"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 w:numId="29" w16cid:durableId="170822088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2776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05E46"/>
    <w:rsid w:val="000300C9"/>
    <w:rsid w:val="00075405"/>
    <w:rsid w:val="000933B2"/>
    <w:rsid w:val="000A63C5"/>
    <w:rsid w:val="000A7BB7"/>
    <w:rsid w:val="000C2B3F"/>
    <w:rsid w:val="000D2DB2"/>
    <w:rsid w:val="000E4990"/>
    <w:rsid w:val="00114348"/>
    <w:rsid w:val="00131B51"/>
    <w:rsid w:val="001445FD"/>
    <w:rsid w:val="00152183"/>
    <w:rsid w:val="001A029F"/>
    <w:rsid w:val="001A04F4"/>
    <w:rsid w:val="001A2D0B"/>
    <w:rsid w:val="001A493D"/>
    <w:rsid w:val="001D332D"/>
    <w:rsid w:val="002225D6"/>
    <w:rsid w:val="00227D23"/>
    <w:rsid w:val="00244233"/>
    <w:rsid w:val="002469EF"/>
    <w:rsid w:val="00253654"/>
    <w:rsid w:val="002977BD"/>
    <w:rsid w:val="002C60D8"/>
    <w:rsid w:val="002D0D62"/>
    <w:rsid w:val="002D6B3B"/>
    <w:rsid w:val="002F420F"/>
    <w:rsid w:val="00301D9D"/>
    <w:rsid w:val="0030613B"/>
    <w:rsid w:val="0032359E"/>
    <w:rsid w:val="003548ED"/>
    <w:rsid w:val="003573A5"/>
    <w:rsid w:val="003B37DE"/>
    <w:rsid w:val="003C7C45"/>
    <w:rsid w:val="003D2851"/>
    <w:rsid w:val="003E0E26"/>
    <w:rsid w:val="003E4058"/>
    <w:rsid w:val="00407FDA"/>
    <w:rsid w:val="00417309"/>
    <w:rsid w:val="004509C9"/>
    <w:rsid w:val="00462A1C"/>
    <w:rsid w:val="0054248B"/>
    <w:rsid w:val="00566B8C"/>
    <w:rsid w:val="00572508"/>
    <w:rsid w:val="00574838"/>
    <w:rsid w:val="00585AD9"/>
    <w:rsid w:val="00595CAD"/>
    <w:rsid w:val="005A51FF"/>
    <w:rsid w:val="005B4F08"/>
    <w:rsid w:val="005D2694"/>
    <w:rsid w:val="005F5407"/>
    <w:rsid w:val="00600613"/>
    <w:rsid w:val="00624682"/>
    <w:rsid w:val="0064196D"/>
    <w:rsid w:val="00660CE5"/>
    <w:rsid w:val="0067292F"/>
    <w:rsid w:val="00684E6A"/>
    <w:rsid w:val="00696790"/>
    <w:rsid w:val="006B7D62"/>
    <w:rsid w:val="006C1535"/>
    <w:rsid w:val="006E0E71"/>
    <w:rsid w:val="00706762"/>
    <w:rsid w:val="00707102"/>
    <w:rsid w:val="00741B2F"/>
    <w:rsid w:val="00755359"/>
    <w:rsid w:val="00762101"/>
    <w:rsid w:val="007805EE"/>
    <w:rsid w:val="00782BAB"/>
    <w:rsid w:val="00786F0D"/>
    <w:rsid w:val="00794ED5"/>
    <w:rsid w:val="00796B8D"/>
    <w:rsid w:val="0079708A"/>
    <w:rsid w:val="007A6BC5"/>
    <w:rsid w:val="007B0E80"/>
    <w:rsid w:val="007E0EE0"/>
    <w:rsid w:val="007F0ABF"/>
    <w:rsid w:val="007F4916"/>
    <w:rsid w:val="0080112E"/>
    <w:rsid w:val="00805775"/>
    <w:rsid w:val="00814427"/>
    <w:rsid w:val="00820C87"/>
    <w:rsid w:val="00846035"/>
    <w:rsid w:val="00870545"/>
    <w:rsid w:val="0088368E"/>
    <w:rsid w:val="00894776"/>
    <w:rsid w:val="008C44F5"/>
    <w:rsid w:val="008D0BAF"/>
    <w:rsid w:val="008E3A49"/>
    <w:rsid w:val="008E4572"/>
    <w:rsid w:val="00921BA3"/>
    <w:rsid w:val="009651CD"/>
    <w:rsid w:val="009A1E93"/>
    <w:rsid w:val="009A48FF"/>
    <w:rsid w:val="009D2ADF"/>
    <w:rsid w:val="00A13C78"/>
    <w:rsid w:val="00A33D69"/>
    <w:rsid w:val="00A35CD3"/>
    <w:rsid w:val="00A35E0E"/>
    <w:rsid w:val="00A37908"/>
    <w:rsid w:val="00A412FB"/>
    <w:rsid w:val="00A514DC"/>
    <w:rsid w:val="00A7146A"/>
    <w:rsid w:val="00AF2E90"/>
    <w:rsid w:val="00AF6098"/>
    <w:rsid w:val="00B11444"/>
    <w:rsid w:val="00B6599E"/>
    <w:rsid w:val="00BA7040"/>
    <w:rsid w:val="00BB2AD4"/>
    <w:rsid w:val="00BB451E"/>
    <w:rsid w:val="00BB775D"/>
    <w:rsid w:val="00BE23E5"/>
    <w:rsid w:val="00BF1559"/>
    <w:rsid w:val="00BF66A5"/>
    <w:rsid w:val="00C12309"/>
    <w:rsid w:val="00C12953"/>
    <w:rsid w:val="00C37F68"/>
    <w:rsid w:val="00C46B84"/>
    <w:rsid w:val="00C46D20"/>
    <w:rsid w:val="00C62F50"/>
    <w:rsid w:val="00C67E19"/>
    <w:rsid w:val="00C72F3A"/>
    <w:rsid w:val="00C94E7C"/>
    <w:rsid w:val="00CA7BF4"/>
    <w:rsid w:val="00CB7C5F"/>
    <w:rsid w:val="00CC0262"/>
    <w:rsid w:val="00CC3F60"/>
    <w:rsid w:val="00CD14AA"/>
    <w:rsid w:val="00CE2A89"/>
    <w:rsid w:val="00CE349B"/>
    <w:rsid w:val="00CF7C1A"/>
    <w:rsid w:val="00D12E59"/>
    <w:rsid w:val="00D3300A"/>
    <w:rsid w:val="00D41986"/>
    <w:rsid w:val="00D672CE"/>
    <w:rsid w:val="00D96DB1"/>
    <w:rsid w:val="00D97DD7"/>
    <w:rsid w:val="00DB71A9"/>
    <w:rsid w:val="00DB7B1E"/>
    <w:rsid w:val="00DE1CC5"/>
    <w:rsid w:val="00DE29E4"/>
    <w:rsid w:val="00E1583E"/>
    <w:rsid w:val="00E36C71"/>
    <w:rsid w:val="00E64236"/>
    <w:rsid w:val="00E737C7"/>
    <w:rsid w:val="00E76DA8"/>
    <w:rsid w:val="00E77B75"/>
    <w:rsid w:val="00EA32E5"/>
    <w:rsid w:val="00EA7A12"/>
    <w:rsid w:val="00EC4360"/>
    <w:rsid w:val="00EF4E48"/>
    <w:rsid w:val="00F03BEE"/>
    <w:rsid w:val="00F20E69"/>
    <w:rsid w:val="00F27190"/>
    <w:rsid w:val="00F73542"/>
    <w:rsid w:val="00F8130B"/>
    <w:rsid w:val="00F91FD9"/>
    <w:rsid w:val="00FA7344"/>
    <w:rsid w:val="00FB322F"/>
    <w:rsid w:val="00FC69EE"/>
    <w:rsid w:val="00FC70EF"/>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CC3F60"/>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CC3F60"/>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tabs>
        <w:tab w:val="clear" w:pos="283"/>
        <w:tab w:val="num" w:pos="360"/>
      </w:tabs>
      <w:spacing w:after="200" w:line="276" w:lineRule="auto"/>
      <w:ind w:left="0" w:firstLine="0"/>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 w:id="1206524763">
      <w:bodyDiv w:val="1"/>
      <w:marLeft w:val="0"/>
      <w:marRight w:val="0"/>
      <w:marTop w:val="0"/>
      <w:marBottom w:val="0"/>
      <w:divBdr>
        <w:top w:val="none" w:sz="0" w:space="0" w:color="auto"/>
        <w:left w:val="none" w:sz="0" w:space="0" w:color="auto"/>
        <w:bottom w:val="none" w:sz="0" w:space="0" w:color="auto"/>
        <w:right w:val="none" w:sz="0" w:space="0" w:color="auto"/>
      </w:divBdr>
    </w:div>
    <w:div w:id="13410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DF7F33R2FXPW-2068254654-215733</_dlc_DocId>
    <_dlc_DocIdUrl xmlns="108bcd35-06c3-4854-8ba1-52356f30bbb7">
      <Url>https://ipgodata.sharepoint.com/sites/protectiadatelordocumentmgmt/_layouts/15/DocIdRedir.aspx?ID=DF7F33R2FXPW-2068254654-215733</Url>
      <Description>DF7F33R2FXPW-2068254654-215733</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4.xml><?xml version="1.0" encoding="utf-8"?>
<ds:datastoreItem xmlns:ds="http://schemas.openxmlformats.org/officeDocument/2006/customXml" ds:itemID="{8EA7AE96-1BA2-43E0-B886-EF3270BDE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32</Pages>
  <Words>6208</Words>
  <Characters>36007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73</cp:revision>
  <dcterms:created xsi:type="dcterms:W3CDTF">2024-08-13T11:24:00Z</dcterms:created>
  <dcterms:modified xsi:type="dcterms:W3CDTF">2024-10-25T08:26:00Z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57ea2465-66e8-4ad6-b4d5-a8ba7aeae9ee</vt:lpwstr>
  </property>
  <property fmtid="{D5CDD505-2E9C-101B-9397-08002B2CF9AE}" pid="4" name="MediaServiceImageTags">
    <vt:lpwstr/>
  </property>
</Properties>
</file>